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C" w:rsidRPr="00A661FE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Хімічний факультет </w:t>
      </w:r>
    </w:p>
    <w:p w:rsidR="00C8756C" w:rsidRPr="00B74EF2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B74EF2">
        <w:rPr>
          <w:rFonts w:ascii="Garamond" w:hAnsi="Garamond"/>
          <w:b/>
          <w:sz w:val="28"/>
        </w:rPr>
        <w:t>Кафедра аналітичної хімії</w:t>
      </w: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3A5DE5" w:rsidRDefault="00C8756C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8756C" w:rsidRPr="0059585B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На засіданні кафедри аналітичної хімії</w:t>
      </w:r>
    </w:p>
    <w:p w:rsidR="00C8756C" w:rsidRPr="00CE03B1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C8756C" w:rsidRPr="00CE03B1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81745D">
        <w:rPr>
          <w:rFonts w:ascii="Times New Roman" w:hAnsi="Times New Roman"/>
          <w:sz w:val="24"/>
          <w:szCs w:val="24"/>
        </w:rPr>
        <w:t>9</w:t>
      </w:r>
      <w:r w:rsidR="00183FE8" w:rsidRPr="00183FE8">
        <w:rPr>
          <w:rFonts w:ascii="Times New Roman" w:hAnsi="Times New Roman"/>
          <w:sz w:val="24"/>
          <w:szCs w:val="24"/>
        </w:rPr>
        <w:t xml:space="preserve"> </w:t>
      </w:r>
      <w:r w:rsidRPr="00183FE8">
        <w:rPr>
          <w:rFonts w:ascii="Times New Roman" w:hAnsi="Times New Roman"/>
          <w:sz w:val="24"/>
          <w:szCs w:val="24"/>
        </w:rPr>
        <w:t xml:space="preserve"> </w:t>
      </w:r>
      <w:r w:rsidRPr="00F8774F">
        <w:rPr>
          <w:rFonts w:ascii="Times New Roman" w:hAnsi="Times New Roman"/>
          <w:sz w:val="24"/>
          <w:szCs w:val="24"/>
        </w:rPr>
        <w:t xml:space="preserve">від </w:t>
      </w:r>
      <w:r w:rsidR="0081745D">
        <w:rPr>
          <w:rFonts w:ascii="Times New Roman" w:hAnsi="Times New Roman"/>
          <w:sz w:val="24"/>
          <w:szCs w:val="24"/>
        </w:rPr>
        <w:t>9</w:t>
      </w:r>
      <w:r w:rsidRPr="00F8774F">
        <w:rPr>
          <w:rFonts w:ascii="Times New Roman" w:hAnsi="Times New Roman"/>
          <w:sz w:val="24"/>
          <w:szCs w:val="24"/>
        </w:rPr>
        <w:t>.0</w:t>
      </w:r>
      <w:r w:rsidR="0081745D">
        <w:rPr>
          <w:rFonts w:ascii="Times New Roman" w:hAnsi="Times New Roman"/>
          <w:sz w:val="24"/>
          <w:szCs w:val="24"/>
        </w:rPr>
        <w:t>2</w:t>
      </w:r>
      <w:r w:rsidRPr="00F8774F">
        <w:rPr>
          <w:rFonts w:ascii="Times New Roman" w:hAnsi="Times New Roman"/>
          <w:sz w:val="24"/>
          <w:szCs w:val="24"/>
        </w:rPr>
        <w:t>.</w:t>
      </w:r>
      <w:r w:rsidRPr="00CE03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1745D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C8756C" w:rsidRDefault="00C8756C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8756C" w:rsidRPr="0059585B" w:rsidRDefault="00C8756C" w:rsidP="0059585B">
      <w:pPr>
        <w:ind w:left="4820" w:firstLine="400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Завідувач</w:t>
      </w:r>
      <w:r>
        <w:rPr>
          <w:rFonts w:ascii="Times New Roman" w:hAnsi="Times New Roman"/>
          <w:sz w:val="24"/>
          <w:szCs w:val="24"/>
        </w:rPr>
        <w:t>ка</w:t>
      </w:r>
      <w:r w:rsidRPr="0059585B">
        <w:rPr>
          <w:rFonts w:ascii="Times New Roman" w:hAnsi="Times New Roman"/>
          <w:sz w:val="24"/>
          <w:szCs w:val="24"/>
        </w:rPr>
        <w:t xml:space="preserve"> кафедри аналітичної хімії, </w:t>
      </w:r>
    </w:p>
    <w:p w:rsidR="00C8756C" w:rsidRPr="0059585B" w:rsidRDefault="00C8756C" w:rsidP="0059585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 xml:space="preserve">__________________доц. Л.О. </w:t>
      </w:r>
      <w:proofErr w:type="spellStart"/>
      <w:r w:rsidRPr="0059585B">
        <w:rPr>
          <w:rFonts w:ascii="Times New Roman" w:hAnsi="Times New Roman"/>
          <w:sz w:val="24"/>
          <w:szCs w:val="24"/>
        </w:rPr>
        <w:t>Дубенська</w:t>
      </w:r>
      <w:proofErr w:type="spellEnd"/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C8756C" w:rsidRPr="00D119EE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119EE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D119EE" w:rsidRPr="00D119EE">
        <w:rPr>
          <w:rFonts w:ascii="Times New Roman" w:hAnsi="Times New Roman"/>
          <w:b/>
          <w:sz w:val="36"/>
        </w:rPr>
        <w:t>ЕЛЕКТРОХІМІЧНІ МЕТОДИ АНАЛІЗУ</w:t>
      </w:r>
      <w:r w:rsidRPr="00D119EE">
        <w:rPr>
          <w:rFonts w:ascii="Times New Roman" w:hAnsi="Times New Roman"/>
          <w:b/>
          <w:color w:val="000000"/>
          <w:sz w:val="32"/>
          <w:szCs w:val="32"/>
        </w:rPr>
        <w:t>»,</w:t>
      </w:r>
    </w:p>
    <w:p w:rsidR="00C8756C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 xml:space="preserve">ОПП </w:t>
      </w:r>
      <w:r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hAnsi="Times New Roman"/>
          <w:b/>
          <w:color w:val="000000"/>
          <w:sz w:val="32"/>
          <w:szCs w:val="32"/>
        </w:rPr>
        <w:t>для здобувачів із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8756C" w:rsidRPr="00B75914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Хімія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6A6169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6A6169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</w:t>
      </w:r>
      <w:r w:rsidR="00B125E5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р.</w:t>
      </w: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Pr="006A6169" w:rsidRDefault="00C8756C" w:rsidP="006A6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79" w:type="dxa"/>
        <w:tblLook w:val="0000" w:firstRow="0" w:lastRow="0" w:firstColumn="0" w:lastColumn="0" w:noHBand="0" w:noVBand="0"/>
      </w:tblPr>
      <w:tblGrid>
        <w:gridCol w:w="2840"/>
        <w:gridCol w:w="7539"/>
      </w:tblGrid>
      <w:tr w:rsidR="00C8756C" w:rsidRPr="0059585B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59585B" w:rsidRDefault="005C446D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Стандартизації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391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Кирила і Мефодія, </w:t>
            </w:r>
            <w:smartTag w:uri="urn:schemas-microsoft-com:office:smarttags" w:element="metricconverter">
              <w:smartTagPr>
                <w:attr w:name="ProductID" w:val="6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Львів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хімічний факультет, кафедра аналітичної хімії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B860EC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0EC">
              <w:rPr>
                <w:rFonts w:ascii="Times New Roman" w:hAnsi="Times New Roman"/>
                <w:sz w:val="24"/>
                <w:szCs w:val="24"/>
              </w:rPr>
              <w:t>Природничі науки, 102 Хімія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757741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Дубенс</w:t>
            </w:r>
            <w:r w:rsidR="005C446D">
              <w:rPr>
                <w:rFonts w:ascii="Times New Roman" w:hAnsi="Times New Roman"/>
                <w:sz w:val="24"/>
                <w:szCs w:val="24"/>
              </w:rPr>
              <w:t>ька</w:t>
            </w:r>
            <w:proofErr w:type="spellEnd"/>
            <w:r w:rsidR="005C446D">
              <w:rPr>
                <w:rFonts w:ascii="Times New Roman" w:hAnsi="Times New Roman"/>
                <w:sz w:val="24"/>
                <w:szCs w:val="24"/>
              </w:rPr>
              <w:t xml:space="preserve"> Лілія Осипівна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AA408A" w:rsidRDefault="00180984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6" w:history="1">
              <w:r w:rsidR="00C8756C" w:rsidRPr="008B6E52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liliya.dubenska@lnu.edu.ua</w:t>
              </w:r>
            </w:hyperlink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5C446D" w:rsidRDefault="00180984" w:rsidP="00AB6DC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8756C" w:rsidRPr="00316786">
                <w:rPr>
                  <w:rStyle w:val="a4"/>
                </w:rPr>
                <w:t>http://e-learning.lnu.edu.ua/course/view.php?id=334</w:t>
              </w:r>
            </w:hyperlink>
            <w:r w:rsidR="00C8756C">
              <w:t xml:space="preserve">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D5EFD" w:rsidRDefault="00012CE4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EF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Метою 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>вивчення цієї дисципліни</w:t>
            </w:r>
            <w:r w:rsidRPr="006D5EF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>є формування цілісної системи знань у студентів хімічного факультету про</w:t>
            </w:r>
            <w:r w:rsidRPr="006D5EF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е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лектрохімічні методи аналізу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756C" w:rsidRPr="00E94357" w:rsidRDefault="00012CE4" w:rsidP="006D5EFD">
            <w:pPr>
              <w:spacing w:after="0" w:line="240" w:lineRule="auto"/>
              <w:jc w:val="both"/>
            </w:pPr>
            <w:r w:rsidRPr="006D5EFD">
              <w:rPr>
                <w:rFonts w:ascii="Times New Roman" w:eastAsia="Times New Roman" w:hAnsi="Times New Roman"/>
                <w:i/>
                <w:sz w:val="24"/>
                <w:szCs w:val="24"/>
              </w:rPr>
              <w:t>Завданнями</w:t>
            </w:r>
            <w:r w:rsidRPr="006D5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дисципліни </w:t>
            </w:r>
            <w:r w:rsidR="00E94357" w:rsidRPr="006D5EFD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Електрохімічні методи аналізу</w:t>
            </w:r>
            <w:r w:rsidR="00E94357" w:rsidRPr="006D5EFD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є</w:t>
            </w:r>
            <w:r w:rsidRPr="006D5EF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місця і ролі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>електроаналізу</w:t>
            </w:r>
            <w:r w:rsidR="00E94357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серед усіх методів аналітичної хімії, </w:t>
            </w:r>
            <w:r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</w:t>
            </w:r>
            <w:proofErr w:type="spellStart"/>
            <w:r w:rsidR="006D5EFD" w:rsidRPr="006D5EFD">
              <w:rPr>
                <w:rFonts w:ascii="Times New Roman" w:hAnsi="Times New Roman"/>
                <w:sz w:val="24"/>
                <w:szCs w:val="24"/>
              </w:rPr>
              <w:t>теоріє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="006D5EFD" w:rsidRPr="006D5EF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формування 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чних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>мін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hAnsi="Times New Roman"/>
                <w:sz w:val="24"/>
                <w:szCs w:val="24"/>
              </w:rPr>
              <w:t>головних електрохімічних методів аналізу, підготовка до самостійного виконання аналітичних визначень електрохімічними методами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 xml:space="preserve">подальшій </w:t>
            </w:r>
            <w:r w:rsidR="006D5EFD" w:rsidRPr="006D5EFD">
              <w:rPr>
                <w:rFonts w:ascii="Times New Roman" w:eastAsia="Times New Roman" w:hAnsi="Times New Roman"/>
                <w:sz w:val="24"/>
                <w:szCs w:val="24"/>
              </w:rPr>
              <w:t>навчальній і трудовій діяльності</w:t>
            </w:r>
            <w:r w:rsidR="00E94357" w:rsidRPr="006D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80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6D5EFD" w:rsidP="00D20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8756C" w:rsidRPr="006A6169">
              <w:rPr>
                <w:rFonts w:ascii="Times New Roman" w:hAnsi="Times New Roman"/>
                <w:sz w:val="24"/>
                <w:szCs w:val="24"/>
              </w:rPr>
              <w:t>годин аудиторних занять</w:t>
            </w:r>
            <w:r w:rsidR="002D067C">
              <w:rPr>
                <w:rFonts w:ascii="Times New Roman" w:hAnsi="Times New Roman"/>
                <w:sz w:val="24"/>
                <w:szCs w:val="24"/>
              </w:rPr>
              <w:t>,</w:t>
            </w:r>
            <w:r w:rsidR="00C8756C" w:rsidRPr="006A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67C">
              <w:rPr>
                <w:rFonts w:ascii="Times New Roman" w:hAnsi="Times New Roman"/>
                <w:sz w:val="24"/>
                <w:szCs w:val="24"/>
              </w:rPr>
              <w:t>з</w:t>
            </w:r>
            <w:r w:rsidR="00C8756C" w:rsidRPr="006A6169">
              <w:rPr>
                <w:rFonts w:ascii="Times New Roman" w:hAnsi="Times New Roman"/>
                <w:sz w:val="24"/>
                <w:szCs w:val="24"/>
              </w:rPr>
              <w:t xml:space="preserve"> них </w:t>
            </w:r>
            <w:r w:rsidR="00D2019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D0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756C"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="00C8756C" w:rsidRPr="00955A91">
              <w:rPr>
                <w:rFonts w:ascii="Times New Roman" w:hAnsi="Times New Roman"/>
                <w:sz w:val="24"/>
                <w:szCs w:val="24"/>
              </w:rPr>
              <w:t xml:space="preserve"> лекційних занять</w:t>
            </w:r>
            <w:r w:rsidR="00C8756C" w:rsidRPr="006A6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019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2D0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756C"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="00C8756C" w:rsidRPr="006A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196">
              <w:rPr>
                <w:rFonts w:ascii="Times New Roman" w:hAnsi="Times New Roman"/>
                <w:sz w:val="24"/>
                <w:szCs w:val="24"/>
              </w:rPr>
              <w:t>лабораторних</w:t>
            </w:r>
            <w:r w:rsidR="00C8756C" w:rsidRPr="006A6169">
              <w:rPr>
                <w:rFonts w:ascii="Times New Roman" w:hAnsi="Times New Roman"/>
                <w:sz w:val="24"/>
                <w:szCs w:val="24"/>
              </w:rPr>
              <w:t xml:space="preserve"> занять</w:t>
            </w:r>
            <w:r w:rsidR="00C8756C">
              <w:rPr>
                <w:rFonts w:ascii="Times New Roman" w:hAnsi="Times New Roman"/>
                <w:sz w:val="24"/>
                <w:szCs w:val="24"/>
              </w:rPr>
              <w:t>.</w:t>
            </w:r>
            <w:r w:rsidR="00C8756C" w:rsidRPr="00955A91">
              <w:rPr>
                <w:rFonts w:ascii="Times New Roman" w:hAnsi="Times New Roman"/>
                <w:sz w:val="24"/>
                <w:szCs w:val="24"/>
              </w:rPr>
              <w:t xml:space="preserve"> Тижневе навантаження становить 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C8756C"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="00C8756C" w:rsidRPr="00955A91">
              <w:rPr>
                <w:rFonts w:ascii="Times New Roman" w:hAnsi="Times New Roman"/>
                <w:sz w:val="24"/>
                <w:szCs w:val="24"/>
              </w:rPr>
              <w:t xml:space="preserve"> аудиторних занять</w:t>
            </w:r>
            <w:r w:rsidR="002D067C">
              <w:rPr>
                <w:rFonts w:ascii="Times New Roman" w:hAnsi="Times New Roman"/>
                <w:sz w:val="24"/>
                <w:szCs w:val="24"/>
              </w:rPr>
              <w:t>.</w:t>
            </w:r>
            <w:r w:rsidR="00C8756C" w:rsidRPr="0095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67C">
              <w:rPr>
                <w:rFonts w:ascii="Times New Roman" w:hAnsi="Times New Roman"/>
                <w:sz w:val="24"/>
                <w:szCs w:val="24"/>
              </w:rPr>
              <w:t>С</w:t>
            </w:r>
            <w:r w:rsidR="00C8756C" w:rsidRPr="00955A91">
              <w:rPr>
                <w:rFonts w:ascii="Times New Roman" w:hAnsi="Times New Roman"/>
                <w:sz w:val="24"/>
                <w:szCs w:val="24"/>
              </w:rPr>
              <w:t>амостійної роботи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196">
              <w:rPr>
                <w:rFonts w:ascii="Times New Roman" w:hAnsi="Times New Roman"/>
                <w:sz w:val="24"/>
                <w:szCs w:val="24"/>
              </w:rPr>
              <w:t>57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87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307A80" w:rsidRDefault="00C8756C" w:rsidP="00E02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80">
              <w:rPr>
                <w:rFonts w:ascii="Times New Roman" w:hAnsi="Times New Roman"/>
                <w:sz w:val="24"/>
                <w:szCs w:val="24"/>
              </w:rPr>
              <w:t>Після завершення цього курсу студент</w:t>
            </w:r>
            <w:r w:rsidR="00184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7A80">
              <w:rPr>
                <w:rFonts w:ascii="Times New Roman" w:hAnsi="Times New Roman"/>
                <w:sz w:val="24"/>
                <w:szCs w:val="24"/>
              </w:rPr>
              <w:t xml:space="preserve">повинен знати: 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правила техніки роботи в аналітичній лабораторії; 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>основи потенціометричних визначень, класифікацію, будову та принцип роботи електродів;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головні засади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електросенсорики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кондуктометричного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методу аналізу;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умови виконання та різновиди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кулонометричних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визначень;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>основи класичної полярографії;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сучасні різновиди методу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вольтамперометрїї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зміннострумову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, імпульсну,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хроновольтамперометрію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тощо);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спектроелектрохімії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як методу дослідження;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та вибору методу аналізу;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>способи визначення фізико-хімічних констант електрохімічними методами.</w:t>
            </w:r>
          </w:p>
          <w:p w:rsidR="00E02D47" w:rsidRPr="00E02D47" w:rsidRDefault="00E02D47" w:rsidP="00E02D47">
            <w:pPr>
              <w:pStyle w:val="a3"/>
              <w:widowControl w:val="0"/>
              <w:tabs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>Студент повинен</w:t>
            </w:r>
            <w:r w:rsidRPr="00E02D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вміти</w:t>
            </w:r>
            <w:r w:rsidRPr="00E02D4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02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>складати гальванічний елемент;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проводити титрування з потенціометричною,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амперометричною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кондуктометричною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детекцією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кінцевої точки титрування;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>виконувати прямі потенціометричні визначення;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виконувати прямі і непрямі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кулонометричні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визначення;</w:t>
            </w:r>
          </w:p>
          <w:p w:rsidR="00E02D47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D47">
              <w:rPr>
                <w:rFonts w:ascii="Times New Roman" w:hAnsi="Times New Roman"/>
                <w:sz w:val="24"/>
                <w:szCs w:val="24"/>
              </w:rPr>
              <w:t xml:space="preserve">інтерпретувати поляризаційні і </w:t>
            </w:r>
            <w:proofErr w:type="spellStart"/>
            <w:r w:rsidRPr="00E02D47">
              <w:rPr>
                <w:rFonts w:ascii="Times New Roman" w:hAnsi="Times New Roman"/>
                <w:sz w:val="24"/>
                <w:szCs w:val="24"/>
              </w:rPr>
              <w:t>вольтамперні</w:t>
            </w:r>
            <w:proofErr w:type="spellEnd"/>
            <w:r w:rsidRPr="00E02D47">
              <w:rPr>
                <w:rFonts w:ascii="Times New Roman" w:hAnsi="Times New Roman"/>
                <w:sz w:val="24"/>
                <w:szCs w:val="24"/>
              </w:rPr>
              <w:t xml:space="preserve"> криві;</w:t>
            </w:r>
          </w:p>
          <w:p w:rsidR="00C8756C" w:rsidRPr="00E02D47" w:rsidRDefault="00E02D47" w:rsidP="00E02D47">
            <w:pPr>
              <w:widowControl w:val="0"/>
              <w:numPr>
                <w:ilvl w:val="0"/>
                <w:numId w:val="13"/>
              </w:numPr>
              <w:tabs>
                <w:tab w:val="clear" w:pos="1211"/>
                <w:tab w:val="left" w:pos="0"/>
                <w:tab w:val="num" w:pos="279"/>
                <w:tab w:val="left" w:pos="846"/>
              </w:tabs>
              <w:spacing w:after="0" w:line="240" w:lineRule="auto"/>
              <w:ind w:left="0" w:firstLine="421"/>
              <w:jc w:val="both"/>
            </w:pPr>
            <w:r w:rsidRPr="00E02D47">
              <w:rPr>
                <w:rFonts w:ascii="Times New Roman" w:hAnsi="Times New Roman"/>
                <w:sz w:val="24"/>
                <w:szCs w:val="24"/>
              </w:rPr>
              <w:t>розв’язувати розрахункові задачі з електрохімічних методів аналізу.</w:t>
            </w:r>
          </w:p>
        </w:tc>
      </w:tr>
      <w:tr w:rsidR="00C8756C" w:rsidRPr="006A6169" w:rsidTr="00C27C4F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C8756C" w:rsidRPr="006A6169" w:rsidTr="00C27C4F"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D20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184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20196">
              <w:rPr>
                <w:rFonts w:ascii="Times New Roman" w:hAnsi="Times New Roman"/>
                <w:sz w:val="24"/>
                <w:szCs w:val="24"/>
              </w:rPr>
              <w:t>лабораторних занять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Пререквізити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D20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потребують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аналітичної</w:t>
            </w:r>
            <w:proofErr w:type="spellEnd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органічної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ії</w:t>
            </w:r>
            <w:proofErr w:type="spellEnd"/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Навчальні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техніки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будуть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використовуватися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час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викладання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C3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Лекції</w:t>
            </w:r>
            <w:proofErr w:type="spellEnd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пояснення,</w:t>
            </w:r>
            <w:r w:rsidR="00CF3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FF4">
              <w:rPr>
                <w:rFonts w:ascii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6A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308BC">
              <w:rPr>
                <w:rFonts w:ascii="Times New Roman" w:hAnsi="Times New Roman"/>
                <w:sz w:val="24"/>
                <w:szCs w:val="24"/>
              </w:rPr>
              <w:t>бесіда, консультації</w:t>
            </w:r>
            <w:r w:rsidR="00D201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20196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="00D2019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D20196">
              <w:rPr>
                <w:rFonts w:ascii="Times New Roman" w:hAnsi="Times New Roman"/>
                <w:sz w:val="24"/>
                <w:szCs w:val="24"/>
              </w:rPr>
              <w:t>зування</w:t>
            </w:r>
            <w:proofErr w:type="spellEnd"/>
            <w:r w:rsidR="00D20196">
              <w:rPr>
                <w:rFonts w:ascii="Times New Roman" w:hAnsi="Times New Roman"/>
                <w:sz w:val="24"/>
                <w:szCs w:val="24"/>
              </w:rPr>
              <w:t xml:space="preserve"> задач, лабораторні роботи</w:t>
            </w:r>
            <w:r w:rsidR="001E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Необхі</w:t>
            </w:r>
            <w:proofErr w:type="gram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</w:t>
            </w:r>
            <w:proofErr w:type="spellEnd"/>
            <w:proofErr w:type="gramEnd"/>
            <w:r w:rsidR="00C30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D20196" w:rsidP="003E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Вимірювальне обладнання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анлатітичної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хімії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C30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F75982" w:rsidRDefault="00C8756C" w:rsidP="00F7598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5982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>Основна</w:t>
            </w:r>
            <w:r w:rsidR="001E2163" w:rsidRPr="00F75982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Pr="00F759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1. </w:t>
            </w:r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Левицька Г.Д.,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Дубенська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Л.О.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Електрохімічні методи аналізу. – Львів: ЛНУ ім. Івана Франка, 2011. 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   </w:t>
            </w:r>
            <w:r w:rsidR="00F75982" w:rsidRPr="00F7598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Тимошук О.С.,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Тимошук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С.В., Врублевська Т.Я., Пацай І.О.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Основи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електроаналітичної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хімії. – Львів: ЛНУ ім. Івана Франка, 2017.- 436 с.</w:t>
            </w:r>
            <w:r w:rsidR="001E2163" w:rsidRPr="00F759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75982" w:rsidRPr="00F759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E2163" w:rsidRPr="00F7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Шольц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Ф.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Электроаналитические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методы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Теория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и практика. – М.: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Бином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Лаборатория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75982" w:rsidRPr="00F75982">
              <w:rPr>
                <w:rFonts w:ascii="Times New Roman" w:hAnsi="Times New Roman"/>
                <w:sz w:val="24"/>
              </w:rPr>
              <w:t>знаний</w:t>
            </w:r>
            <w:r w:rsidR="00F75982" w:rsidRPr="00F75982">
              <w:rPr>
                <w:rFonts w:ascii="Times New Roman" w:hAnsi="Times New Roman"/>
                <w:sz w:val="24"/>
                <w:lang w:val="en-GB"/>
              </w:rPr>
              <w:t>, 200</w:t>
            </w:r>
            <w:r w:rsidR="00F75982" w:rsidRPr="00F75982">
              <w:rPr>
                <w:rFonts w:ascii="Times New Roman" w:hAnsi="Times New Roman"/>
                <w:sz w:val="24"/>
              </w:rPr>
              <w:t>6</w:t>
            </w:r>
            <w:r w:rsidR="00F75982" w:rsidRPr="00F75982">
              <w:rPr>
                <w:rFonts w:ascii="Times New Roman" w:hAnsi="Times New Roman"/>
                <w:sz w:val="24"/>
                <w:lang w:val="en-GB"/>
              </w:rPr>
              <w:t>.</w:t>
            </w:r>
            <w:r w:rsidR="001E2163" w:rsidRPr="00F759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08BC" w:rsidRPr="004C6A72" w:rsidRDefault="00C8756C" w:rsidP="00F759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5982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>Додаткова</w:t>
            </w:r>
            <w:r w:rsidRPr="00F75982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:</w:t>
            </w:r>
            <w:r w:rsidRPr="00F759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180984" w:rsidRPr="00F75982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Хенце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Г.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Полярография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вольтамперометрия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Теоретические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аналитическая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практика – М.: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Бином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Лаборатория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знаний, 2008.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  </w:t>
            </w:r>
            <w:r w:rsidR="00F75982" w:rsidRPr="00F75982">
              <w:rPr>
                <w:rFonts w:ascii="Times New Roman" w:hAnsi="Times New Roman"/>
                <w:b/>
                <w:sz w:val="24"/>
              </w:rPr>
              <w:t>2.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Миомандр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Ф., Садки С.,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Одебер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П.,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Меалле-Рено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Р.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Электрохимия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>. – М.: Техносфера, 2008.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  </w:t>
            </w:r>
            <w:r w:rsidR="00F75982" w:rsidRPr="00F75982">
              <w:rPr>
                <w:rFonts w:ascii="Times New Roman" w:hAnsi="Times New Roman"/>
                <w:b/>
                <w:sz w:val="24"/>
              </w:rPr>
              <w:t>3.</w:t>
            </w:r>
            <w:r w:rsidR="00F75982">
              <w:rPr>
                <w:rFonts w:ascii="Times New Roman" w:hAnsi="Times New Roman"/>
                <w:sz w:val="24"/>
              </w:rPr>
              <w:t xml:space="preserve"> </w:t>
            </w:r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Будников Г.К., Майстренко В.Н. </w:t>
            </w:r>
            <w:proofErr w:type="spellStart"/>
            <w:r w:rsidR="00F75982" w:rsidRPr="00F75982">
              <w:rPr>
                <w:rFonts w:ascii="Times New Roman" w:hAnsi="Times New Roman"/>
                <w:i/>
                <w:sz w:val="24"/>
              </w:rPr>
              <w:t>Вяселев</w:t>
            </w:r>
            <w:proofErr w:type="spellEnd"/>
            <w:r w:rsidR="00F75982" w:rsidRPr="00F75982">
              <w:rPr>
                <w:rFonts w:ascii="Times New Roman" w:hAnsi="Times New Roman"/>
                <w:i/>
                <w:sz w:val="24"/>
              </w:rPr>
              <w:t xml:space="preserve"> М.Р.</w:t>
            </w:r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современного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электрохимического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5982" w:rsidRPr="00F75982">
              <w:rPr>
                <w:rFonts w:ascii="Times New Roman" w:hAnsi="Times New Roman"/>
                <w:sz w:val="24"/>
              </w:rPr>
              <w:t>анализа</w:t>
            </w:r>
            <w:proofErr w:type="spellEnd"/>
            <w:r w:rsidR="00F75982" w:rsidRPr="00F75982">
              <w:rPr>
                <w:rFonts w:ascii="Times New Roman" w:hAnsi="Times New Roman"/>
                <w:sz w:val="24"/>
              </w:rPr>
              <w:t>. – М.: Мир, 2003.</w:t>
            </w:r>
            <w:r w:rsid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  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B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74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Критерії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82" w:rsidRPr="00F75982" w:rsidRDefault="00F75982" w:rsidP="0018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982">
              <w:rPr>
                <w:rFonts w:ascii="Times New Roman" w:hAnsi="Times New Roman"/>
                <w:sz w:val="24"/>
                <w:szCs w:val="24"/>
              </w:rPr>
              <w:t>Навчальна дисципліна "Електрохімічні методи аналізу" оцінюється за модульно-рейтинговою системою. Результати навчальної діяльності студентів оцінюються за 100-бальною шкалою. Дисципліну поділено на 2 змістові модулі: за кожен модуль студент може отримати по 50 балів. Разом це 1 модуль, оцінений у 100 балів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984" w:rsidRPr="008E1A07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A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80984" w:rsidRPr="00101C49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C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F759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термінів,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робіт, передбачених курсом. </w:t>
            </w:r>
          </w:p>
          <w:p w:rsidR="00180984" w:rsidRPr="00101C49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C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Література. 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C8756C" w:rsidRPr="003D315D" w:rsidRDefault="00C8756C" w:rsidP="001809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Політика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нарахування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3D315D">
              <w:rPr>
                <w:rFonts w:ascii="Times New Roman" w:hAnsi="Times New Roman"/>
                <w:sz w:val="24"/>
                <w:szCs w:val="24"/>
              </w:rPr>
              <w:t xml:space="preserve">Результати навчальної діяльності студентів оцінюються за 100-бальною шкалою.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Враховуються</w:t>
            </w:r>
            <w:proofErr w:type="spellEnd"/>
            <w:r w:rsidR="00F87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набрані</w:t>
            </w:r>
            <w:proofErr w:type="spellEnd"/>
            <w:r w:rsidR="00F87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впродовж</w:t>
            </w:r>
            <w:proofErr w:type="spellEnd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семестру 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gramStart"/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ідготовку і виступ з повідомленням на задану тему, за активну роботу на практичному занятті, а також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на поточному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підсумковому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тестуванні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 цьому обов’язково враховуються присутність на заняттях та активність студента під час 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практичного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</w:t>
            </w:r>
          </w:p>
        </w:tc>
      </w:tr>
    </w:tbl>
    <w:p w:rsidR="00F75982" w:rsidRDefault="00F75982" w:rsidP="00F7598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75982" w:rsidRDefault="00F7598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75982" w:rsidRPr="00F75982" w:rsidRDefault="00F75982" w:rsidP="00F75982">
      <w:pPr>
        <w:keepNext/>
        <w:keepLines/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F75982">
        <w:rPr>
          <w:rFonts w:ascii="Times New Roman" w:hAnsi="Times New Roman"/>
          <w:b/>
          <w:sz w:val="28"/>
        </w:rPr>
        <w:lastRenderedPageBreak/>
        <w:t>Методи контролю та розподіл балів</w:t>
      </w:r>
    </w:p>
    <w:p w:rsidR="00F75982" w:rsidRPr="00F75982" w:rsidRDefault="00F75982" w:rsidP="00F759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4039"/>
        <w:gridCol w:w="2553"/>
        <w:gridCol w:w="1346"/>
        <w:gridCol w:w="1488"/>
      </w:tblGrid>
      <w:tr w:rsidR="00F75982" w:rsidRPr="00471DEB" w:rsidTr="00471D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9" w:type="dxa"/>
            <w:vAlign w:val="center"/>
          </w:tcPr>
          <w:p w:rsidR="00F75982" w:rsidRPr="00471DEB" w:rsidRDefault="00F75982" w:rsidP="0047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9" w:type="dxa"/>
            <w:vAlign w:val="center"/>
          </w:tcPr>
          <w:p w:rsidR="00F75982" w:rsidRPr="00471DEB" w:rsidRDefault="00F75982" w:rsidP="00471DEB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Модуль</w:t>
            </w:r>
          </w:p>
        </w:tc>
        <w:tc>
          <w:tcPr>
            <w:tcW w:w="2553" w:type="dxa"/>
            <w:vAlign w:val="center"/>
          </w:tcPr>
          <w:p w:rsidR="00F75982" w:rsidRPr="00471DEB" w:rsidRDefault="00F75982" w:rsidP="00471DEB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Види контролю</w:t>
            </w:r>
          </w:p>
        </w:tc>
        <w:tc>
          <w:tcPr>
            <w:tcW w:w="1346" w:type="dxa"/>
            <w:vAlign w:val="center"/>
          </w:tcPr>
          <w:p w:rsidR="00F75982" w:rsidRPr="00471DEB" w:rsidRDefault="00F75982" w:rsidP="0047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 xml:space="preserve"> видів</w:t>
            </w:r>
          </w:p>
        </w:tc>
        <w:tc>
          <w:tcPr>
            <w:tcW w:w="1488" w:type="dxa"/>
            <w:vAlign w:val="center"/>
          </w:tcPr>
          <w:p w:rsidR="00F75982" w:rsidRPr="00471DEB" w:rsidRDefault="00F75982" w:rsidP="0047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F75982" w:rsidRPr="00471DEB" w:rsidTr="00471D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9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 xml:space="preserve">Класифікація </w:t>
            </w: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електроаналітичних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 xml:space="preserve"> методів. Потенціометричний метод аналізу. </w:t>
            </w: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Кулонометричний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 xml:space="preserve"> метод аналізу</w:t>
            </w:r>
          </w:p>
        </w:tc>
        <w:tc>
          <w:tcPr>
            <w:tcW w:w="2553" w:type="dxa"/>
            <w:vAlign w:val="center"/>
          </w:tcPr>
          <w:p w:rsidR="00F75982" w:rsidRPr="00471DEB" w:rsidRDefault="00F75982" w:rsidP="00F75982">
            <w:pPr>
              <w:pStyle w:val="3"/>
              <w:spacing w:before="0" w:after="0" w:line="240" w:lineRule="auto"/>
              <w:ind w:firstLine="4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1DEB">
              <w:rPr>
                <w:rFonts w:ascii="Times New Roman" w:hAnsi="Times New Roman"/>
                <w:b w:val="0"/>
                <w:sz w:val="24"/>
                <w:szCs w:val="24"/>
              </w:rPr>
              <w:t>Колоквіум</w:t>
            </w:r>
            <w:proofErr w:type="spellEnd"/>
          </w:p>
          <w:p w:rsidR="00F75982" w:rsidRPr="00471DEB" w:rsidRDefault="00F75982" w:rsidP="00F75982">
            <w:pPr>
              <w:pStyle w:val="3"/>
              <w:spacing w:before="0" w:after="0" w:line="240" w:lineRule="auto"/>
              <w:ind w:firstLine="43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471DEB">
              <w:rPr>
                <w:rFonts w:ascii="Times New Roman" w:hAnsi="Times New Roman"/>
                <w:b w:val="0"/>
                <w:sz w:val="24"/>
                <w:szCs w:val="24"/>
              </w:rPr>
              <w:t>Лабораторна</w:t>
            </w:r>
            <w:proofErr w:type="spellEnd"/>
            <w:r w:rsidRPr="00471DEB">
              <w:rPr>
                <w:rFonts w:ascii="Times New Roman" w:hAnsi="Times New Roman"/>
                <w:b w:val="0"/>
                <w:sz w:val="24"/>
                <w:szCs w:val="24"/>
              </w:rPr>
              <w:t xml:space="preserve"> робота </w:t>
            </w:r>
          </w:p>
        </w:tc>
        <w:tc>
          <w:tcPr>
            <w:tcW w:w="1346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</w:t>
            </w:r>
            <w:r w:rsidRPr="00471D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982" w:rsidRPr="00471DEB" w:rsidTr="00471DEB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639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Вольтамперометрія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 xml:space="preserve">. Кондуктометрія. </w:t>
            </w: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Електросенсорика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vAlign w:val="center"/>
          </w:tcPr>
          <w:p w:rsidR="00F75982" w:rsidRPr="00471DEB" w:rsidRDefault="00F75982" w:rsidP="00F75982">
            <w:pPr>
              <w:pStyle w:val="3"/>
              <w:spacing w:before="0" w:after="0" w:line="240" w:lineRule="auto"/>
              <w:ind w:firstLine="4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1DEB">
              <w:rPr>
                <w:rFonts w:ascii="Times New Roman" w:hAnsi="Times New Roman"/>
                <w:b w:val="0"/>
                <w:sz w:val="24"/>
                <w:szCs w:val="24"/>
              </w:rPr>
              <w:t>Колоквіум</w:t>
            </w:r>
            <w:proofErr w:type="spellEnd"/>
          </w:p>
          <w:p w:rsidR="00F75982" w:rsidRPr="00471DEB" w:rsidRDefault="00F75982" w:rsidP="00F75982">
            <w:pPr>
              <w:pStyle w:val="1"/>
              <w:spacing w:before="0" w:line="240" w:lineRule="auto"/>
              <w:ind w:firstLine="4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Лабораторна робота</w:t>
            </w:r>
          </w:p>
        </w:tc>
        <w:tc>
          <w:tcPr>
            <w:tcW w:w="1346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</w:t>
            </w:r>
            <w:r w:rsidRPr="00471D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75982" w:rsidRPr="00471DEB" w:rsidRDefault="00F75982" w:rsidP="00F75982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982" w:rsidRPr="00471DEB" w:rsidRDefault="00F75982" w:rsidP="00F75982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1DEB">
        <w:rPr>
          <w:rFonts w:ascii="Times New Roman" w:hAnsi="Times New Roman"/>
          <w:b/>
          <w:sz w:val="24"/>
          <w:szCs w:val="24"/>
        </w:rPr>
        <w:t>Рейтингове</w:t>
      </w:r>
      <w:proofErr w:type="spellEnd"/>
      <w:r w:rsidRPr="00471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1DEB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471DEB">
        <w:rPr>
          <w:rFonts w:ascii="Times New Roman" w:hAnsi="Times New Roman"/>
          <w:b/>
          <w:sz w:val="24"/>
          <w:szCs w:val="24"/>
        </w:rPr>
        <w:t xml:space="preserve"> контролю </w:t>
      </w:r>
      <w:proofErr w:type="spellStart"/>
      <w:r w:rsidRPr="00471DEB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471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1DEB">
        <w:rPr>
          <w:rFonts w:ascii="Times New Roman" w:hAnsi="Times New Roman"/>
          <w:b/>
          <w:sz w:val="24"/>
          <w:szCs w:val="24"/>
        </w:rPr>
        <w:t>студентів</w:t>
      </w:r>
      <w:proofErr w:type="spellEnd"/>
      <w:r w:rsidRPr="00471DEB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471DEB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471DEB">
        <w:rPr>
          <w:rFonts w:ascii="Times New Roman" w:hAnsi="Times New Roman"/>
          <w:b/>
          <w:sz w:val="24"/>
          <w:szCs w:val="24"/>
        </w:rPr>
        <w:t xml:space="preserve"> балах)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648"/>
        <w:gridCol w:w="1228"/>
        <w:gridCol w:w="1182"/>
        <w:gridCol w:w="1276"/>
      </w:tblGrid>
      <w:tr w:rsidR="00F75982" w:rsidRPr="00471DEB" w:rsidTr="00504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8" w:type="dxa"/>
            <w:vAlign w:val="center"/>
          </w:tcPr>
          <w:p w:rsidR="00F75982" w:rsidRPr="00471DEB" w:rsidRDefault="00F75982" w:rsidP="00F759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Види контролю</w:t>
            </w:r>
          </w:p>
        </w:tc>
        <w:tc>
          <w:tcPr>
            <w:tcW w:w="1228" w:type="dxa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DEB"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 w:rsidRPr="00471DEB">
              <w:rPr>
                <w:rFonts w:ascii="Times New Roman" w:hAnsi="Times New Roman"/>
                <w:sz w:val="24"/>
                <w:szCs w:val="24"/>
              </w:rPr>
              <w:t xml:space="preserve"> видів</w:t>
            </w:r>
          </w:p>
        </w:tc>
        <w:tc>
          <w:tcPr>
            <w:tcW w:w="1182" w:type="dxa"/>
            <w:vAlign w:val="center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276" w:type="dxa"/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Сума балів</w:t>
            </w:r>
          </w:p>
        </w:tc>
      </w:tr>
      <w:tr w:rsidR="00F75982" w:rsidRPr="00471DEB" w:rsidTr="00504916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Колоквіум</w:t>
            </w:r>
          </w:p>
          <w:p w:rsidR="00F75982" w:rsidRPr="00471DEB" w:rsidRDefault="00F75982" w:rsidP="00F7598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Виконання і захист лабораторної роботи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4</w:t>
            </w:r>
            <w:r w:rsidRPr="00471D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6</w:t>
            </w:r>
            <w:r w:rsidRPr="00471D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75982" w:rsidRPr="00471DEB" w:rsidTr="005049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Загальна сума балів за семестр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982" w:rsidRPr="00471DEB" w:rsidRDefault="00F75982" w:rsidP="00F7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D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75982" w:rsidRPr="00471DEB" w:rsidRDefault="00F75982" w:rsidP="00F75982">
      <w:pPr>
        <w:pStyle w:val="5"/>
        <w:spacing w:line="240" w:lineRule="auto"/>
        <w:ind w:firstLine="567"/>
        <w:rPr>
          <w:rFonts w:ascii="Times New Roman" w:hAnsi="Times New Roman"/>
          <w:i w:val="0"/>
          <w:sz w:val="24"/>
          <w:szCs w:val="24"/>
          <w:lang w:val="uk-UA"/>
        </w:rPr>
      </w:pPr>
    </w:p>
    <w:p w:rsidR="00F75982" w:rsidRPr="00F75982" w:rsidRDefault="00F75982" w:rsidP="00F75982">
      <w:pPr>
        <w:pStyle w:val="5"/>
        <w:spacing w:line="240" w:lineRule="auto"/>
        <w:ind w:firstLine="567"/>
        <w:rPr>
          <w:rFonts w:ascii="Times New Roman" w:hAnsi="Times New Roman"/>
          <w:i w:val="0"/>
          <w:sz w:val="24"/>
          <w:szCs w:val="24"/>
        </w:rPr>
      </w:pP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Оцінювання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здійснюється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на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двох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етапах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>:</w:t>
      </w:r>
    </w:p>
    <w:p w:rsidR="00F75982" w:rsidRPr="00F75982" w:rsidRDefault="00F75982" w:rsidP="00F75982">
      <w:pPr>
        <w:pStyle w:val="5"/>
        <w:spacing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5982">
        <w:rPr>
          <w:rFonts w:ascii="Times New Roman" w:hAnsi="Times New Roman"/>
          <w:i w:val="0"/>
          <w:sz w:val="24"/>
          <w:szCs w:val="24"/>
        </w:rPr>
        <w:t>Допуск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до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який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максимально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може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бути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оцінений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в </w:t>
      </w:r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2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>,0 бал</w:t>
      </w:r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и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Д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опуск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до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охоплю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є 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методику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типову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будову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приладу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та принцип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його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основних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вузлів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Головні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фізичні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та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хімічні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закони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які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лежать в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основі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методу.</w:t>
      </w:r>
    </w:p>
    <w:p w:rsidR="00F75982" w:rsidRPr="00F75982" w:rsidRDefault="00F75982" w:rsidP="00F75982">
      <w:pPr>
        <w:pStyle w:val="5"/>
        <w:spacing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i w:val="0"/>
          <w:sz w:val="24"/>
          <w:szCs w:val="24"/>
        </w:rPr>
        <w:t xml:space="preserve"> і </w:t>
      </w:r>
      <w:proofErr w:type="spellStart"/>
      <w:r w:rsidRPr="00F75982">
        <w:rPr>
          <w:rFonts w:ascii="Times New Roman" w:hAnsi="Times New Roman"/>
          <w:i w:val="0"/>
          <w:sz w:val="24"/>
          <w:szCs w:val="24"/>
        </w:rPr>
        <w:t>захист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який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максимально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може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бути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оцінений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у </w:t>
      </w:r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8</w:t>
      </w:r>
      <w:r w:rsidRPr="00F75982">
        <w:rPr>
          <w:rFonts w:ascii="Times New Roman" w:hAnsi="Times New Roman"/>
          <w:b w:val="0"/>
          <w:i w:val="0"/>
          <w:sz w:val="24"/>
          <w:szCs w:val="24"/>
        </w:rPr>
        <w:t>,0 бал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  <w:lang w:val="uk-UA"/>
        </w:rPr>
        <w:t>ів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Оцінювання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здійснюється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па </w:t>
      </w:r>
      <w:proofErr w:type="spellStart"/>
      <w:proofErr w:type="gramStart"/>
      <w:r w:rsidRPr="00F75982">
        <w:rPr>
          <w:rFonts w:ascii="Times New Roman" w:hAnsi="Times New Roman"/>
          <w:b w:val="0"/>
          <w:i w:val="0"/>
          <w:sz w:val="24"/>
          <w:szCs w:val="24"/>
        </w:rPr>
        <w:t>п</w:t>
      </w:r>
      <w:proofErr w:type="gramEnd"/>
      <w:r w:rsidRPr="00F75982">
        <w:rPr>
          <w:rFonts w:ascii="Times New Roman" w:hAnsi="Times New Roman"/>
          <w:b w:val="0"/>
          <w:i w:val="0"/>
          <w:sz w:val="24"/>
          <w:szCs w:val="24"/>
        </w:rPr>
        <w:t>ідставі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результату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та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її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захисту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spellStart"/>
      <w:proofErr w:type="gramStart"/>
      <w:r w:rsidRPr="00F75982">
        <w:rPr>
          <w:rFonts w:ascii="Times New Roman" w:hAnsi="Times New Roman"/>
          <w:b w:val="0"/>
          <w:i w:val="0"/>
          <w:sz w:val="24"/>
          <w:szCs w:val="24"/>
        </w:rPr>
        <w:t>П</w:t>
      </w:r>
      <w:proofErr w:type="gramEnd"/>
      <w:r w:rsidRPr="00F75982">
        <w:rPr>
          <w:rFonts w:ascii="Times New Roman" w:hAnsi="Times New Roman"/>
          <w:b w:val="0"/>
          <w:i w:val="0"/>
          <w:sz w:val="24"/>
          <w:szCs w:val="24"/>
        </w:rPr>
        <w:t>ід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час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захисту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оцінюють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техніку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отримані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результати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та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знання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теоретичних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основ методу. Результат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вважається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добрим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якщо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відносна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похибка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визначення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не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перевищує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5 %,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задовільним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відносна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похибка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визначення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є в межах 5-10 %,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незадовільним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більше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10 %. Робота з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незадовільним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результатом не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зараховується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і </w:t>
      </w:r>
      <w:proofErr w:type="gramStart"/>
      <w:r w:rsidRPr="00F75982">
        <w:rPr>
          <w:rFonts w:ascii="Times New Roman" w:hAnsi="Times New Roman"/>
          <w:b w:val="0"/>
          <w:i w:val="0"/>
          <w:sz w:val="24"/>
          <w:szCs w:val="24"/>
        </w:rPr>
        <w:t>повинна</w:t>
      </w:r>
      <w:proofErr w:type="gramEnd"/>
      <w:r w:rsidRPr="00F75982">
        <w:rPr>
          <w:rFonts w:ascii="Times New Roman" w:hAnsi="Times New Roman"/>
          <w:b w:val="0"/>
          <w:i w:val="0"/>
          <w:sz w:val="24"/>
          <w:szCs w:val="24"/>
        </w:rPr>
        <w:t xml:space="preserve"> бути </w:t>
      </w:r>
      <w:proofErr w:type="spellStart"/>
      <w:r w:rsidRPr="00F75982">
        <w:rPr>
          <w:rFonts w:ascii="Times New Roman" w:hAnsi="Times New Roman"/>
          <w:b w:val="0"/>
          <w:i w:val="0"/>
          <w:sz w:val="24"/>
          <w:szCs w:val="24"/>
        </w:rPr>
        <w:t>переробленою</w:t>
      </w:r>
      <w:proofErr w:type="spellEnd"/>
      <w:r w:rsidRPr="00F7598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75982" w:rsidRPr="00F75982" w:rsidRDefault="00F75982" w:rsidP="00F7598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982">
        <w:rPr>
          <w:rFonts w:ascii="Times New Roman" w:hAnsi="Times New Roman"/>
          <w:sz w:val="24"/>
          <w:szCs w:val="24"/>
        </w:rPr>
        <w:t>Критерії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такі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5982">
        <w:rPr>
          <w:rFonts w:ascii="Times New Roman" w:hAnsi="Times New Roman"/>
          <w:sz w:val="24"/>
          <w:szCs w:val="24"/>
        </w:rPr>
        <w:t>захист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відмінним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F75982">
        <w:rPr>
          <w:rFonts w:ascii="Times New Roman" w:hAnsi="Times New Roman"/>
          <w:sz w:val="24"/>
          <w:szCs w:val="24"/>
        </w:rPr>
        <w:t>безпомилковому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знанні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теоретичних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основ і методики </w:t>
      </w:r>
      <w:proofErr w:type="spellStart"/>
      <w:r w:rsidRPr="00F7598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sz w:val="24"/>
          <w:szCs w:val="24"/>
        </w:rPr>
        <w:t>добрим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– при </w:t>
      </w:r>
      <w:proofErr w:type="spellStart"/>
      <w:r w:rsidRPr="00F75982">
        <w:rPr>
          <w:rFonts w:ascii="Times New Roman" w:hAnsi="Times New Roman"/>
          <w:sz w:val="24"/>
          <w:szCs w:val="24"/>
        </w:rPr>
        <w:t>допущенні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несуттєвих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помилок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або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неточностей, </w:t>
      </w:r>
      <w:proofErr w:type="spellStart"/>
      <w:r w:rsidRPr="00F75982">
        <w:rPr>
          <w:rFonts w:ascii="Times New Roman" w:hAnsi="Times New Roman"/>
          <w:sz w:val="24"/>
          <w:szCs w:val="24"/>
        </w:rPr>
        <w:t>задовільним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– при </w:t>
      </w:r>
      <w:proofErr w:type="spellStart"/>
      <w:r w:rsidRPr="00F75982">
        <w:rPr>
          <w:rFonts w:ascii="Times New Roman" w:hAnsi="Times New Roman"/>
          <w:sz w:val="24"/>
          <w:szCs w:val="24"/>
        </w:rPr>
        <w:t>допущенні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окремих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значних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помилок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982">
        <w:rPr>
          <w:rFonts w:ascii="Times New Roman" w:hAnsi="Times New Roman"/>
          <w:sz w:val="24"/>
          <w:szCs w:val="24"/>
        </w:rPr>
        <w:t>незадовільним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75982">
        <w:rPr>
          <w:rFonts w:ascii="Times New Roman" w:hAnsi="Times New Roman"/>
          <w:sz w:val="24"/>
          <w:szCs w:val="24"/>
        </w:rPr>
        <w:t>при</w:t>
      </w:r>
      <w:proofErr w:type="gram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sz w:val="24"/>
          <w:szCs w:val="24"/>
        </w:rPr>
        <w:t>теоретичних</w:t>
      </w:r>
      <w:proofErr w:type="spellEnd"/>
      <w:r w:rsidRPr="00F75982">
        <w:rPr>
          <w:rFonts w:ascii="Times New Roman" w:hAnsi="Times New Roman"/>
          <w:sz w:val="24"/>
          <w:szCs w:val="24"/>
        </w:rPr>
        <w:t xml:space="preserve"> основ та методики </w:t>
      </w:r>
      <w:proofErr w:type="spellStart"/>
      <w:r w:rsidRPr="00F75982">
        <w:rPr>
          <w:rFonts w:ascii="Times New Roman" w:hAnsi="Times New Roman"/>
          <w:sz w:val="24"/>
          <w:szCs w:val="24"/>
        </w:rPr>
        <w:t>роботи</w:t>
      </w:r>
      <w:proofErr w:type="spellEnd"/>
      <w:r w:rsidRPr="00F75982">
        <w:rPr>
          <w:rFonts w:ascii="Times New Roman" w:hAnsi="Times New Roman"/>
          <w:sz w:val="24"/>
          <w:szCs w:val="24"/>
        </w:rPr>
        <w:t>.</w:t>
      </w:r>
    </w:p>
    <w:p w:rsidR="00F75982" w:rsidRPr="00F75982" w:rsidRDefault="00F75982" w:rsidP="00F75982">
      <w:pPr>
        <w:pStyle w:val="a9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5982">
        <w:rPr>
          <w:rFonts w:ascii="Times New Roman" w:hAnsi="Times New Roman"/>
          <w:b/>
          <w:sz w:val="24"/>
          <w:szCs w:val="24"/>
        </w:rPr>
        <w:t>Рейтингове</w:t>
      </w:r>
      <w:proofErr w:type="spellEnd"/>
      <w:r w:rsidRPr="00F75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F75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F7598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F75982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F75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/>
          <w:sz w:val="24"/>
          <w:szCs w:val="24"/>
        </w:rPr>
        <w:t>лабораторної</w:t>
      </w:r>
      <w:proofErr w:type="spellEnd"/>
      <w:r w:rsidRPr="00F759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982">
        <w:rPr>
          <w:rFonts w:ascii="Times New Roman" w:hAnsi="Times New Roman"/>
          <w:b/>
          <w:sz w:val="24"/>
          <w:szCs w:val="24"/>
        </w:rPr>
        <w:t>роботи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3497"/>
        <w:gridCol w:w="1213"/>
      </w:tblGrid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7598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F75982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b/>
                <w:sz w:val="24"/>
                <w:szCs w:val="24"/>
              </w:rPr>
              <w:t>Захист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ind w:hanging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982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  <w:r w:rsidRPr="00F75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759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759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7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  <w:r w:rsidRPr="00F75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4362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відмінний</w:t>
            </w:r>
            <w:proofErr w:type="spellEnd"/>
            <w:r w:rsidRPr="00F75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добрий</w:t>
            </w:r>
            <w:proofErr w:type="spellEnd"/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75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3497" w:type="dxa"/>
          </w:tcPr>
          <w:p w:rsidR="00F75982" w:rsidRPr="00F75982" w:rsidRDefault="00F75982" w:rsidP="00F75982">
            <w:pPr>
              <w:pStyle w:val="a9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proofErr w:type="spellStart"/>
            <w:r w:rsidRPr="00F7598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1213" w:type="dxa"/>
          </w:tcPr>
          <w:p w:rsidR="00F75982" w:rsidRPr="00F75982" w:rsidRDefault="00F75982" w:rsidP="00F7598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982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</w:tr>
    </w:tbl>
    <w:p w:rsidR="00F75982" w:rsidRPr="00F75982" w:rsidRDefault="00F75982" w:rsidP="00F759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5982" w:rsidRPr="00F75982" w:rsidRDefault="00F75982" w:rsidP="00F75982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</w:rPr>
      </w:pPr>
      <w:r w:rsidRPr="00F75982">
        <w:rPr>
          <w:rFonts w:ascii="Times New Roman" w:hAnsi="Times New Roman"/>
          <w:b/>
          <w:sz w:val="24"/>
        </w:rPr>
        <w:t>Підсумкова оцінка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257"/>
        <w:gridCol w:w="941"/>
        <w:gridCol w:w="4528"/>
      </w:tblGrid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Бал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982">
              <w:rPr>
                <w:rFonts w:ascii="Times New Roman" w:hAnsi="Times New Roman"/>
                <w:lang w:val="en-US"/>
              </w:rPr>
              <w:t>ECTS</w:t>
            </w:r>
          </w:p>
        </w:tc>
        <w:tc>
          <w:tcPr>
            <w:tcW w:w="5469" w:type="dxa"/>
            <w:gridSpan w:val="2"/>
            <w:tcBorders>
              <w:bottom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ind w:firstLine="683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Оцінка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90-100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Відмінно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81-89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B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4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Добре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71-80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C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61-70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98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3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Задовільно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51-60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E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30-50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FX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Можлива перездача іспиту</w:t>
            </w:r>
          </w:p>
        </w:tc>
      </w:tr>
      <w:tr w:rsidR="00F75982" w:rsidRPr="00F75982" w:rsidTr="00504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0-29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F</w:t>
            </w:r>
          </w:p>
        </w:tc>
        <w:tc>
          <w:tcPr>
            <w:tcW w:w="94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</w:tcBorders>
          </w:tcPr>
          <w:p w:rsidR="00F75982" w:rsidRPr="00F75982" w:rsidRDefault="00F75982" w:rsidP="00F75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982">
              <w:rPr>
                <w:rFonts w:ascii="Times New Roman" w:hAnsi="Times New Roman"/>
              </w:rPr>
              <w:t>Повторення всього курсу</w:t>
            </w:r>
          </w:p>
        </w:tc>
      </w:tr>
    </w:tbl>
    <w:p w:rsidR="00180984" w:rsidRDefault="00180984" w:rsidP="00466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756C" w:rsidRPr="000F5788" w:rsidRDefault="00C8756C" w:rsidP="00B549F9">
      <w:pPr>
        <w:jc w:val="center"/>
        <w:rPr>
          <w:b/>
        </w:rPr>
      </w:pPr>
      <w:r w:rsidRPr="000F5788">
        <w:rPr>
          <w:rFonts w:ascii="Times New Roman" w:hAnsi="Times New Roman"/>
          <w:b/>
          <w:sz w:val="24"/>
          <w:szCs w:val="24"/>
        </w:rPr>
        <w:lastRenderedPageBreak/>
        <w:t xml:space="preserve">СХЕМА КУРСУ </w:t>
      </w:r>
    </w:p>
    <w:tbl>
      <w:tblPr>
        <w:tblW w:w="10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140"/>
        <w:gridCol w:w="1132"/>
        <w:gridCol w:w="3728"/>
        <w:gridCol w:w="720"/>
      </w:tblGrid>
      <w:tr w:rsidR="00C8756C" w:rsidRPr="00C27C4F" w:rsidTr="002B01CE">
        <w:tc>
          <w:tcPr>
            <w:tcW w:w="756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:rsidR="00C8756C" w:rsidRPr="00CB294D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2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132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color w:val="000000"/>
                <w:sz w:val="24"/>
                <w:szCs w:val="24"/>
              </w:rPr>
              <w:t>Форма заняття</w:t>
            </w:r>
          </w:p>
        </w:tc>
        <w:tc>
          <w:tcPr>
            <w:tcW w:w="3728" w:type="dxa"/>
            <w:vAlign w:val="center"/>
          </w:tcPr>
          <w:p w:rsidR="00C8756C" w:rsidRPr="008D2290" w:rsidRDefault="00C8756C" w:rsidP="008D229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29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8D22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ороткі</w:t>
            </w:r>
            <w:proofErr w:type="spellEnd"/>
            <w:r w:rsidR="008D34CB" w:rsidRPr="008D2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2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720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572088" w:rsidRPr="00C27C4F" w:rsidTr="002B01CE">
        <w:tc>
          <w:tcPr>
            <w:tcW w:w="756" w:type="dxa"/>
            <w:vMerge w:val="restart"/>
            <w:vAlign w:val="center"/>
          </w:tcPr>
          <w:p w:rsidR="00572088" w:rsidRPr="00C27C4F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1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572088" w:rsidRPr="00CB294D" w:rsidRDefault="0057208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B294D">
              <w:rPr>
                <w:rFonts w:ascii="Times New Roman" w:hAnsi="Times New Roman"/>
                <w:lang w:val="ru-RU"/>
              </w:rPr>
              <w:t xml:space="preserve">Вступ. </w:t>
            </w:r>
            <w:r w:rsidRPr="00CB294D">
              <w:rPr>
                <w:rFonts w:ascii="Times New Roman" w:hAnsi="Times New Roman"/>
              </w:rPr>
              <w:t xml:space="preserve">Загальна характеристика </w:t>
            </w:r>
            <w:proofErr w:type="spellStart"/>
            <w:r w:rsidRPr="00CB294D">
              <w:rPr>
                <w:rFonts w:ascii="Times New Roman" w:hAnsi="Times New Roman"/>
              </w:rPr>
              <w:t>електроаналітичних</w:t>
            </w:r>
            <w:proofErr w:type="spellEnd"/>
            <w:r w:rsidRPr="00CB294D">
              <w:rPr>
                <w:rFonts w:ascii="Times New Roman" w:hAnsi="Times New Roman"/>
              </w:rPr>
              <w:t xml:space="preserve"> методів аналізу. Класифікація, особливості, галузі застосування. Електрохімічна комірка</w:t>
            </w:r>
          </w:p>
        </w:tc>
        <w:tc>
          <w:tcPr>
            <w:tcW w:w="1132" w:type="dxa"/>
            <w:vAlign w:val="center"/>
          </w:tcPr>
          <w:p w:rsidR="00572088" w:rsidRPr="00C27C4F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572088" w:rsidRPr="008D2290" w:rsidRDefault="00357A43" w:rsidP="008D2290">
            <w:pPr>
              <w:pStyle w:val="a9"/>
              <w:widowControl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Підходи до класифікації ЕАМ. Електрохімічна комірка. Електродний потенціал і різниця потенціалів </w:t>
            </w:r>
            <w:proofErr w:type="spellStart"/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електроаналітичної</w:t>
            </w:r>
            <w:proofErr w:type="spellEnd"/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комірки. Сучасні напрями розвитку ЕАМ. ЕАМ в аналізі металів, сплавів, матеріалах </w:t>
            </w:r>
            <w:proofErr w:type="spellStart"/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радіоелектро</w:t>
            </w:r>
            <w:r w:rsidR="008D2290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ніки</w:t>
            </w:r>
            <w:proofErr w:type="spellEnd"/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, фізіологічних розчинів, фармацевтичних препаратів, продуктів харчування та об’єктів довкілля</w:t>
            </w:r>
          </w:p>
        </w:tc>
        <w:tc>
          <w:tcPr>
            <w:tcW w:w="720" w:type="dxa"/>
            <w:vAlign w:val="center"/>
          </w:tcPr>
          <w:p w:rsidR="00572088" w:rsidRPr="00C27C4F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72088" w:rsidRPr="00C27C4F" w:rsidTr="002B01CE">
        <w:tc>
          <w:tcPr>
            <w:tcW w:w="756" w:type="dxa"/>
            <w:vMerge/>
            <w:vAlign w:val="center"/>
          </w:tcPr>
          <w:p w:rsidR="00572088" w:rsidRPr="007041DF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72088" w:rsidRPr="00CB294D" w:rsidRDefault="0057208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Визначення </w:t>
            </w:r>
            <w:r w:rsidRPr="00CB294D">
              <w:rPr>
                <w:rFonts w:ascii="Times New Roman" w:hAnsi="Times New Roman"/>
                <w:lang w:val="en-US"/>
              </w:rPr>
              <w:t>F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-</w:t>
            </w:r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r w:rsidRPr="00CB294D">
              <w:rPr>
                <w:rFonts w:ascii="Times New Roman" w:hAnsi="Times New Roman"/>
              </w:rPr>
              <w:t xml:space="preserve">чи </w:t>
            </w:r>
            <w:r w:rsidRPr="00CB294D">
              <w:rPr>
                <w:rFonts w:ascii="Times New Roman" w:hAnsi="Times New Roman"/>
                <w:lang w:val="en-US"/>
              </w:rPr>
              <w:t>NO</w:t>
            </w:r>
            <w:r w:rsidRPr="00CB294D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–</w:t>
            </w:r>
            <w:r w:rsidRPr="00CB294D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іонів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ґрунтах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водних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розчинах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, водах, продуктах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рослинного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походження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зубній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пасті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(</w:t>
            </w:r>
            <w:r w:rsidRPr="00CB294D">
              <w:rPr>
                <w:rFonts w:ascii="Times New Roman" w:hAnsi="Times New Roman"/>
                <w:lang w:val="en-US"/>
              </w:rPr>
              <w:t>F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-</w:t>
            </w:r>
            <w:r w:rsidRPr="00CB294D">
              <w:rPr>
                <w:rFonts w:ascii="Times New Roman" w:hAnsi="Times New Roman"/>
                <w:lang w:val="ru-RU"/>
              </w:rPr>
              <w:t xml:space="preserve">) методом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іонометрії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(за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вибором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студента)</w:t>
            </w:r>
          </w:p>
        </w:tc>
        <w:tc>
          <w:tcPr>
            <w:tcW w:w="1132" w:type="dxa"/>
            <w:vAlign w:val="center"/>
          </w:tcPr>
          <w:p w:rsidR="00572088" w:rsidRPr="00C27C4F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572088" w:rsidRPr="00E41840" w:rsidRDefault="00E41840" w:rsidP="00E41840">
            <w:pPr>
              <w:pStyle w:val="a9"/>
              <w:widowControl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1840">
              <w:rPr>
                <w:rFonts w:ascii="Times New Roman" w:hAnsi="Times New Roman"/>
                <w:sz w:val="22"/>
                <w:szCs w:val="22"/>
              </w:rPr>
              <w:t xml:space="preserve">Допуск </w:t>
            </w:r>
            <w:proofErr w:type="gramStart"/>
            <w:r w:rsidRPr="00E41840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лабораторної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Ознайомлення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обладнанням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Виготовлення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стандартних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робочих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розчинів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ідготовка проби</w:t>
            </w:r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Виконання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роботи.</w:t>
            </w:r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572088" w:rsidRDefault="0057208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835A4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B294D">
              <w:rPr>
                <w:rFonts w:ascii="Times New Roman" w:hAnsi="Times New Roman"/>
              </w:rPr>
              <w:t>Пряма потенціометрія. Класифікація потенціометричних методів аналізу. Електроди в потенціометрії. Методи прямої потенціометрії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357A43" w:rsidRPr="008D2290" w:rsidRDefault="00357A43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8D2290">
              <w:rPr>
                <w:rFonts w:ascii="Times New Roman" w:hAnsi="Times New Roman"/>
              </w:rPr>
              <w:t xml:space="preserve">Характеристика електродів в потенціометрії. Електроди </w:t>
            </w:r>
            <w:proofErr w:type="spellStart"/>
            <w:r w:rsidRPr="008D2290">
              <w:rPr>
                <w:rFonts w:ascii="Times New Roman" w:hAnsi="Times New Roman"/>
              </w:rPr>
              <w:t>порівнян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ня</w:t>
            </w:r>
            <w:proofErr w:type="spellEnd"/>
            <w:r w:rsidRPr="008D2290">
              <w:rPr>
                <w:rFonts w:ascii="Times New Roman" w:hAnsi="Times New Roman"/>
              </w:rPr>
              <w:t xml:space="preserve">. Індикаторні електроди. Типи </w:t>
            </w:r>
            <w:proofErr w:type="spellStart"/>
            <w:r w:rsidRPr="008D2290">
              <w:rPr>
                <w:rFonts w:ascii="Times New Roman" w:hAnsi="Times New Roman"/>
              </w:rPr>
              <w:t>іонселективних</w:t>
            </w:r>
            <w:proofErr w:type="spellEnd"/>
            <w:r w:rsidRPr="008D2290">
              <w:rPr>
                <w:rFonts w:ascii="Times New Roman" w:hAnsi="Times New Roman"/>
              </w:rPr>
              <w:t xml:space="preserve"> електродів, </w:t>
            </w:r>
            <w:proofErr w:type="spellStart"/>
            <w:r w:rsidR="008D2290">
              <w:rPr>
                <w:rFonts w:ascii="Times New Roman" w:hAnsi="Times New Roman"/>
              </w:rPr>
              <w:t>особи-</w:t>
            </w:r>
            <w:r w:rsidRPr="008D2290">
              <w:rPr>
                <w:rFonts w:ascii="Times New Roman" w:hAnsi="Times New Roman"/>
              </w:rPr>
              <w:t>вості</w:t>
            </w:r>
            <w:proofErr w:type="spellEnd"/>
            <w:r w:rsidRPr="008D2290">
              <w:rPr>
                <w:rFonts w:ascii="Times New Roman" w:hAnsi="Times New Roman"/>
              </w:rPr>
              <w:t xml:space="preserve"> їх використання для аналізу багатокомпонентних систем. </w:t>
            </w:r>
          </w:p>
          <w:p w:rsidR="00CB294D" w:rsidRPr="008D2290" w:rsidRDefault="00357A43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>Пряма потенціометрія (</w:t>
            </w:r>
            <w:proofErr w:type="spellStart"/>
            <w:r w:rsidRPr="008D2290">
              <w:rPr>
                <w:rFonts w:ascii="Times New Roman" w:hAnsi="Times New Roman"/>
              </w:rPr>
              <w:t>іонометрія</w:t>
            </w:r>
            <w:proofErr w:type="spellEnd"/>
            <w:r w:rsidRPr="008D2290">
              <w:rPr>
                <w:rFonts w:ascii="Times New Roman" w:hAnsi="Times New Roman"/>
              </w:rPr>
              <w:t>). Методи прямої потенціометрії, їх особливості. Дифузійний потенціал. Рівняння, які використовуються у прямій потенціометрії.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835A4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Визначення </w:t>
            </w:r>
            <w:r w:rsidRPr="00CB294D">
              <w:rPr>
                <w:rFonts w:ascii="Times New Roman" w:hAnsi="Times New Roman"/>
                <w:lang w:val="en-US"/>
              </w:rPr>
              <w:t>F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-</w:t>
            </w:r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r w:rsidRPr="00CB294D">
              <w:rPr>
                <w:rFonts w:ascii="Times New Roman" w:hAnsi="Times New Roman"/>
              </w:rPr>
              <w:t xml:space="preserve">чи </w:t>
            </w:r>
            <w:r w:rsidRPr="00CB294D">
              <w:rPr>
                <w:rFonts w:ascii="Times New Roman" w:hAnsi="Times New Roman"/>
                <w:lang w:val="en-US"/>
              </w:rPr>
              <w:t>NO</w:t>
            </w:r>
            <w:r w:rsidRPr="00CB294D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–</w:t>
            </w:r>
            <w:r w:rsidRPr="00CB294D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іонів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 у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ґрунтах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водних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розчинах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, водах, продуктах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рослинного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походження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зубній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пасті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(</w:t>
            </w:r>
            <w:r w:rsidRPr="00CB294D">
              <w:rPr>
                <w:rFonts w:ascii="Times New Roman" w:hAnsi="Times New Roman"/>
                <w:lang w:val="en-US"/>
              </w:rPr>
              <w:t>F</w:t>
            </w:r>
            <w:r w:rsidRPr="00CB294D">
              <w:rPr>
                <w:rFonts w:ascii="Times New Roman" w:hAnsi="Times New Roman"/>
                <w:vertAlign w:val="superscript"/>
                <w:lang w:val="ru-RU"/>
              </w:rPr>
              <w:t>-</w:t>
            </w:r>
            <w:r w:rsidRPr="00CB294D">
              <w:rPr>
                <w:rFonts w:ascii="Times New Roman" w:hAnsi="Times New Roman"/>
                <w:lang w:val="ru-RU"/>
              </w:rPr>
              <w:t xml:space="preserve">) методом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іонометрії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(за </w:t>
            </w:r>
            <w:proofErr w:type="spellStart"/>
            <w:r w:rsidRPr="00CB294D">
              <w:rPr>
                <w:rFonts w:ascii="Times New Roman" w:hAnsi="Times New Roman"/>
                <w:lang w:val="ru-RU"/>
              </w:rPr>
              <w:t>вибором</w:t>
            </w:r>
            <w:proofErr w:type="spellEnd"/>
            <w:r w:rsidRPr="00CB294D">
              <w:rPr>
                <w:rFonts w:ascii="Times New Roman" w:hAnsi="Times New Roman"/>
                <w:lang w:val="ru-RU"/>
              </w:rPr>
              <w:t xml:space="preserve"> студента)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E41840">
              <w:rPr>
                <w:rFonts w:ascii="Times New Roman" w:hAnsi="Times New Roman"/>
              </w:rPr>
              <w:t>Опрацювання одержаних експериментальних даних та оформлення лабораторної роботи.</w:t>
            </w:r>
            <w:r>
              <w:rPr>
                <w:rFonts w:ascii="Times New Roman" w:hAnsi="Times New Roman"/>
              </w:rPr>
              <w:t xml:space="preserve"> Захист роботи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Потенціометричне титрування. </w:t>
            </w:r>
            <w:proofErr w:type="spellStart"/>
            <w:r w:rsidRPr="00CB294D">
              <w:rPr>
                <w:rFonts w:ascii="Times New Roman" w:hAnsi="Times New Roman"/>
              </w:rPr>
              <w:t>Апа-ратура</w:t>
            </w:r>
            <w:proofErr w:type="spellEnd"/>
            <w:r w:rsidRPr="00CB294D">
              <w:rPr>
                <w:rFonts w:ascii="Times New Roman" w:hAnsi="Times New Roman"/>
              </w:rPr>
              <w:t xml:space="preserve"> та техніка роботи в потенціометрії. Застосування </w:t>
            </w:r>
            <w:proofErr w:type="spellStart"/>
            <w:r w:rsidRPr="00CB294D">
              <w:rPr>
                <w:rFonts w:ascii="Times New Roman" w:hAnsi="Times New Roman"/>
              </w:rPr>
              <w:t>потен-ціометрії</w:t>
            </w:r>
            <w:proofErr w:type="spellEnd"/>
            <w:r w:rsidRPr="00CB294D">
              <w:rPr>
                <w:rFonts w:ascii="Times New Roman" w:hAnsi="Times New Roman"/>
              </w:rPr>
              <w:t xml:space="preserve"> в аналітичній практиці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357A43" w:rsidRPr="008D2290" w:rsidRDefault="00357A43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8D2290">
              <w:rPr>
                <w:rFonts w:ascii="Times New Roman" w:hAnsi="Times New Roman"/>
              </w:rPr>
              <w:t xml:space="preserve">Специфіка потенціометричного титрування при використанні реакцій осадження та </w:t>
            </w:r>
            <w:proofErr w:type="spellStart"/>
            <w:r w:rsidRPr="008D2290">
              <w:rPr>
                <w:rFonts w:ascii="Times New Roman" w:hAnsi="Times New Roman"/>
              </w:rPr>
              <w:t>комплексоутворення</w:t>
            </w:r>
            <w:proofErr w:type="spellEnd"/>
            <w:r w:rsidRPr="008D2290">
              <w:rPr>
                <w:rFonts w:ascii="Times New Roman" w:hAnsi="Times New Roman"/>
              </w:rPr>
              <w:t xml:space="preserve">. Апаратура та техніка роботи в </w:t>
            </w:r>
            <w:proofErr w:type="spellStart"/>
            <w:r w:rsidRPr="008D2290">
              <w:rPr>
                <w:rFonts w:ascii="Times New Roman" w:hAnsi="Times New Roman"/>
              </w:rPr>
              <w:t>потенціо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метричному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титруванні. Потенціометричне визначення фізико-хімічних констант речовин.</w:t>
            </w:r>
          </w:p>
          <w:p w:rsidR="00CB294D" w:rsidRPr="008D2290" w:rsidRDefault="00357A43" w:rsidP="008D2290">
            <w:pPr>
              <w:pStyle w:val="31"/>
              <w:ind w:left="0" w:firstLine="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Застосування потенціометрії в аналітичній практиці. Контроль вмісту найважливіших токсичних елементів в природних та стічних водах, фізіологічних розчинах (</w:t>
            </w:r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As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Cu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Sn</w:t>
            </w:r>
            <w:proofErr w:type="spellEnd"/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Zn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>, S</w:t>
            </w:r>
            <w:r w:rsidRPr="008D2290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2-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8D2290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-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D2290">
              <w:rPr>
                <w:rFonts w:ascii="Times New Roman" w:hAnsi="Times New Roman"/>
                <w:sz w:val="22"/>
                <w:szCs w:val="22"/>
                <w:lang w:val="en-US"/>
              </w:rPr>
              <w:t>NO</w:t>
            </w:r>
            <w:r w:rsidRPr="008D2290">
              <w:rPr>
                <w:rFonts w:ascii="Times New Roman" w:hAnsi="Times New Roman"/>
                <w:sz w:val="22"/>
                <w:szCs w:val="22"/>
                <w:vertAlign w:val="subscript"/>
                <w:lang w:val="uk-UA"/>
              </w:rPr>
              <w:t>3</w:t>
            </w:r>
            <w:r w:rsidRPr="008D2290"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  <w:t>-</w:t>
            </w:r>
            <w:r w:rsidRPr="008D22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тощо).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Визначення хрому і ванадію в суміші методом потенціометричного титрування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E41840">
            <w:pPr>
              <w:pStyle w:val="31"/>
              <w:ind w:left="0" w:firstLine="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1840">
              <w:rPr>
                <w:rFonts w:ascii="Times New Roman" w:hAnsi="Times New Roman"/>
                <w:sz w:val="22"/>
                <w:szCs w:val="22"/>
              </w:rPr>
              <w:t xml:space="preserve">Допуск </w:t>
            </w:r>
            <w:proofErr w:type="gramStart"/>
            <w:r w:rsidRPr="00E41840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лабораторної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роботи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Ознайомлення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обладнанням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Виготовлення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стандартних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робочих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розчинів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41840">
              <w:rPr>
                <w:rFonts w:ascii="Times New Roman" w:hAnsi="Times New Roman"/>
                <w:sz w:val="22"/>
                <w:szCs w:val="22"/>
              </w:rPr>
              <w:t>Виконання</w:t>
            </w:r>
            <w:proofErr w:type="spellEnd"/>
            <w:r w:rsidRPr="00E418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3613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B294D">
              <w:rPr>
                <w:rFonts w:ascii="Times New Roman" w:hAnsi="Times New Roman"/>
              </w:rPr>
              <w:t>Кулонометричний</w:t>
            </w:r>
            <w:proofErr w:type="spellEnd"/>
            <w:r w:rsidRPr="00CB294D">
              <w:rPr>
                <w:rFonts w:ascii="Times New Roman" w:hAnsi="Times New Roman"/>
              </w:rPr>
              <w:t xml:space="preserve"> метод аналізу. Суть і особливості. Поляризаційні криві. Пряма кулонометрія. Вибір потенціалу робочого електроду. Фіксування </w:t>
            </w:r>
            <w:r w:rsidRPr="00CB294D">
              <w:rPr>
                <w:rFonts w:ascii="Times New Roman" w:hAnsi="Times New Roman"/>
              </w:rPr>
              <w:lastRenderedPageBreak/>
              <w:t xml:space="preserve">моменту завершення електрохімічної реакції. </w:t>
            </w:r>
            <w:proofErr w:type="spellStart"/>
            <w:r w:rsidRPr="00CB294D">
              <w:rPr>
                <w:rFonts w:ascii="Times New Roman" w:hAnsi="Times New Roman"/>
              </w:rPr>
              <w:t>Електрогравіметрія</w:t>
            </w:r>
            <w:proofErr w:type="spellEnd"/>
            <w:r w:rsidRPr="00CB294D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лк</w:t>
            </w:r>
          </w:p>
        </w:tc>
        <w:tc>
          <w:tcPr>
            <w:tcW w:w="3728" w:type="dxa"/>
            <w:vAlign w:val="center"/>
          </w:tcPr>
          <w:p w:rsidR="00357A43" w:rsidRPr="008D2290" w:rsidRDefault="00357A43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8D2290">
              <w:rPr>
                <w:rFonts w:ascii="Times New Roman" w:hAnsi="Times New Roman"/>
              </w:rPr>
              <w:t xml:space="preserve">Класифікація методів кулонометрії. Основні умови та вимоги у методах </w:t>
            </w:r>
            <w:proofErr w:type="spellStart"/>
            <w:r w:rsidRPr="008D2290">
              <w:rPr>
                <w:rFonts w:ascii="Times New Roman" w:hAnsi="Times New Roman"/>
              </w:rPr>
              <w:t>кулонометричного</w:t>
            </w:r>
            <w:proofErr w:type="spellEnd"/>
            <w:r w:rsidRPr="008D2290">
              <w:rPr>
                <w:rFonts w:ascii="Times New Roman" w:hAnsi="Times New Roman"/>
              </w:rPr>
              <w:t xml:space="preserve"> аналізу. Пряма кулонометрія. Вибір потенціалу </w:t>
            </w:r>
            <w:r w:rsidRPr="008D2290">
              <w:rPr>
                <w:rFonts w:ascii="Times New Roman" w:hAnsi="Times New Roman"/>
              </w:rPr>
              <w:lastRenderedPageBreak/>
              <w:t xml:space="preserve">робочого електроду. Знаходження моменту завершення </w:t>
            </w:r>
            <w:proofErr w:type="spellStart"/>
            <w:r w:rsidRPr="008D2290">
              <w:rPr>
                <w:rFonts w:ascii="Times New Roman" w:hAnsi="Times New Roman"/>
              </w:rPr>
              <w:t>електро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хімічної</w:t>
            </w:r>
            <w:proofErr w:type="spellEnd"/>
            <w:r w:rsidRPr="008D2290">
              <w:rPr>
                <w:rFonts w:ascii="Times New Roman" w:hAnsi="Times New Roman"/>
              </w:rPr>
              <w:t xml:space="preserve"> реакції. </w:t>
            </w:r>
          </w:p>
          <w:p w:rsidR="00CB294D" w:rsidRPr="008D2290" w:rsidRDefault="00357A43" w:rsidP="008D2290">
            <w:pPr>
              <w:pStyle w:val="21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D2290">
              <w:rPr>
                <w:rFonts w:ascii="Times New Roman" w:hAnsi="Times New Roman"/>
              </w:rPr>
              <w:t>Електрогравіметрія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. Закони </w:t>
            </w:r>
            <w:proofErr w:type="spellStart"/>
            <w:r w:rsidRPr="008D2290">
              <w:rPr>
                <w:rFonts w:ascii="Times New Roman" w:hAnsi="Times New Roman"/>
              </w:rPr>
              <w:t>електро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лізу</w:t>
            </w:r>
            <w:proofErr w:type="spellEnd"/>
            <w:r w:rsidRPr="008D2290">
              <w:rPr>
                <w:rFonts w:ascii="Times New Roman" w:hAnsi="Times New Roman"/>
              </w:rPr>
              <w:t>. Електродний. потенціал. Фізичні та хімічні умови осадження та розділення металів. Самочинний електроліз.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3613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Визначення хрому і ванадію в суміші методом потенціометричного титрування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pStyle w:val="21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>Опрацювання одержаних експериментальних даних та оформлення лабораторної роботи.</w:t>
            </w:r>
            <w:r>
              <w:rPr>
                <w:rFonts w:ascii="Times New Roman" w:hAnsi="Times New Roman"/>
              </w:rPr>
              <w:t xml:space="preserve"> Захист роботи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B294D">
              <w:rPr>
                <w:rFonts w:ascii="Times New Roman" w:hAnsi="Times New Roman"/>
              </w:rPr>
              <w:t>Кулонометричне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титрування. </w:t>
            </w:r>
            <w:proofErr w:type="spellStart"/>
            <w:r w:rsidRPr="00CB294D">
              <w:rPr>
                <w:rFonts w:ascii="Times New Roman" w:hAnsi="Times New Roman"/>
              </w:rPr>
              <w:t>Титранти</w:t>
            </w:r>
            <w:proofErr w:type="spellEnd"/>
            <w:r w:rsidRPr="00CB294D">
              <w:rPr>
                <w:rFonts w:ascii="Times New Roman" w:hAnsi="Times New Roman"/>
              </w:rPr>
              <w:t xml:space="preserve">. Апаратура в </w:t>
            </w:r>
            <w:proofErr w:type="spellStart"/>
            <w:r w:rsidRPr="00CB294D">
              <w:rPr>
                <w:rFonts w:ascii="Times New Roman" w:hAnsi="Times New Roman"/>
              </w:rPr>
              <w:t>кулоно-метричному</w:t>
            </w:r>
            <w:proofErr w:type="spellEnd"/>
            <w:r w:rsidRPr="00CB294D">
              <w:rPr>
                <w:rFonts w:ascii="Times New Roman" w:hAnsi="Times New Roman"/>
              </w:rPr>
              <w:t xml:space="preserve"> методі аналізу. Визначення кількості електрики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357A43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D2290">
              <w:rPr>
                <w:rFonts w:ascii="Times New Roman" w:hAnsi="Times New Roman"/>
              </w:rPr>
              <w:t>Кулонометричне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титрування. </w:t>
            </w:r>
            <w:proofErr w:type="spellStart"/>
            <w:r w:rsidRPr="008D2290">
              <w:rPr>
                <w:rFonts w:ascii="Times New Roman" w:hAnsi="Times New Roman"/>
              </w:rPr>
              <w:t>Кулонометричні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</w:t>
            </w:r>
            <w:proofErr w:type="spellStart"/>
            <w:r w:rsidRPr="008D2290">
              <w:rPr>
                <w:rFonts w:ascii="Times New Roman" w:hAnsi="Times New Roman"/>
              </w:rPr>
              <w:t>титранти</w:t>
            </w:r>
            <w:proofErr w:type="spellEnd"/>
            <w:r w:rsidRPr="008D2290">
              <w:rPr>
                <w:rFonts w:ascii="Times New Roman" w:hAnsi="Times New Roman"/>
              </w:rPr>
              <w:t xml:space="preserve">. Апаратура в </w:t>
            </w:r>
            <w:proofErr w:type="spellStart"/>
            <w:r w:rsidRPr="008D2290">
              <w:rPr>
                <w:rFonts w:ascii="Times New Roman" w:hAnsi="Times New Roman"/>
              </w:rPr>
              <w:t>кулонометричному</w:t>
            </w:r>
            <w:proofErr w:type="spellEnd"/>
            <w:r w:rsidRPr="008D2290">
              <w:rPr>
                <w:rFonts w:ascii="Times New Roman" w:hAnsi="Times New Roman"/>
              </w:rPr>
              <w:t xml:space="preserve"> методі аналізу. Встановлення "кінцевої" точки титрування. Визначення кількості електрики в кулонометрії.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B294D">
              <w:rPr>
                <w:rFonts w:ascii="Times New Roman" w:hAnsi="Times New Roman"/>
              </w:rPr>
              <w:t xml:space="preserve">Визначення </w:t>
            </w:r>
            <w:proofErr w:type="spellStart"/>
            <w:r w:rsidRPr="00CB294D">
              <w:rPr>
                <w:rFonts w:ascii="Times New Roman" w:hAnsi="Times New Roman"/>
              </w:rPr>
              <w:t>хлоридної</w:t>
            </w:r>
            <w:proofErr w:type="spellEnd"/>
            <w:r w:rsidRPr="00CB294D">
              <w:rPr>
                <w:rFonts w:ascii="Times New Roman" w:hAnsi="Times New Roman"/>
              </w:rPr>
              <w:t xml:space="preserve"> кислоти у технологічних розчинах або аскорбінової кислоти у соках методом </w:t>
            </w:r>
            <w:proofErr w:type="spellStart"/>
            <w:r w:rsidRPr="00CB294D">
              <w:rPr>
                <w:rFonts w:ascii="Times New Roman" w:hAnsi="Times New Roman"/>
              </w:rPr>
              <w:t>кулонометричного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 xml:space="preserve">Допуск до лабораторної роботи. Ознайомлення з обладнанням. Виготовлення стандартних та робочих розчинів. </w:t>
            </w:r>
            <w:r>
              <w:rPr>
                <w:rFonts w:ascii="Times New Roman" w:hAnsi="Times New Roman"/>
              </w:rPr>
              <w:t>Підготовка проби</w:t>
            </w:r>
            <w:r w:rsidRPr="00E41840">
              <w:rPr>
                <w:rFonts w:ascii="Times New Roman" w:hAnsi="Times New Roman"/>
              </w:rPr>
              <w:t xml:space="preserve">. Виконання </w:t>
            </w:r>
            <w:r>
              <w:rPr>
                <w:rFonts w:ascii="Times New Roman" w:hAnsi="Times New Roman"/>
              </w:rPr>
              <w:t>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357A4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Застосування кулонометрії в аналітичній практиці 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357A43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Застосування методів прямої кулонометрії і </w:t>
            </w:r>
            <w:proofErr w:type="spellStart"/>
            <w:r w:rsidRPr="008D2290">
              <w:rPr>
                <w:rFonts w:ascii="Times New Roman" w:hAnsi="Times New Roman"/>
              </w:rPr>
              <w:t>кулонометричного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титрування. Приклади </w:t>
            </w:r>
            <w:proofErr w:type="spellStart"/>
            <w:r w:rsidRPr="008D2290">
              <w:rPr>
                <w:rFonts w:ascii="Times New Roman" w:hAnsi="Times New Roman"/>
              </w:rPr>
              <w:t>кулоно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метричних</w:t>
            </w:r>
            <w:proofErr w:type="spellEnd"/>
            <w:r w:rsidRPr="008D2290">
              <w:rPr>
                <w:rFonts w:ascii="Times New Roman" w:hAnsi="Times New Roman"/>
              </w:rPr>
              <w:t xml:space="preserve"> визначень неорганічних та органічних речовин. Метрологічні характеристики методу </w:t>
            </w:r>
            <w:proofErr w:type="spellStart"/>
            <w:r w:rsidRPr="008D2290">
              <w:rPr>
                <w:rFonts w:ascii="Times New Roman" w:hAnsi="Times New Roman"/>
              </w:rPr>
              <w:t>кулоно</w:t>
            </w:r>
            <w:r w:rsidR="008D2290"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метрії</w:t>
            </w:r>
            <w:proofErr w:type="spellEnd"/>
            <w:r w:rsidRPr="008D229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Pr="00136135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B294D">
              <w:rPr>
                <w:rFonts w:ascii="Times New Roman" w:hAnsi="Times New Roman"/>
              </w:rPr>
              <w:t xml:space="preserve">Визначення </w:t>
            </w:r>
            <w:proofErr w:type="spellStart"/>
            <w:r w:rsidRPr="00CB294D">
              <w:rPr>
                <w:rFonts w:ascii="Times New Roman" w:hAnsi="Times New Roman"/>
              </w:rPr>
              <w:t>хлоридної</w:t>
            </w:r>
            <w:proofErr w:type="spellEnd"/>
            <w:r w:rsidRPr="00CB294D">
              <w:rPr>
                <w:rFonts w:ascii="Times New Roman" w:hAnsi="Times New Roman"/>
              </w:rPr>
              <w:t xml:space="preserve"> кислоти у технологічних розчинах або аскор</w:t>
            </w:r>
            <w:r w:rsidR="00E41840">
              <w:rPr>
                <w:rFonts w:ascii="Times New Roman" w:hAnsi="Times New Roman"/>
              </w:rPr>
              <w:t>бінової кислоти у соках</w:t>
            </w:r>
            <w:r w:rsidRPr="00CB294D">
              <w:rPr>
                <w:rFonts w:ascii="Times New Roman" w:hAnsi="Times New Roman"/>
              </w:rPr>
              <w:t xml:space="preserve"> методом </w:t>
            </w:r>
            <w:proofErr w:type="spellStart"/>
            <w:r w:rsidRPr="00CB294D">
              <w:rPr>
                <w:rFonts w:ascii="Times New Roman" w:hAnsi="Times New Roman"/>
              </w:rPr>
              <w:t>кулонометричного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 (за вибором)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>Опрацювання одержаних експериментальних даних та оформлення лабораторної роботи.</w:t>
            </w:r>
            <w:r>
              <w:rPr>
                <w:rFonts w:ascii="Times New Roman" w:hAnsi="Times New Roman"/>
              </w:rPr>
              <w:t xml:space="preserve"> Захист роботи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53641E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Класична полярографія. Теорія методу. Криві І–Е, Е</w:t>
            </w:r>
            <w:r w:rsidRPr="00CB294D">
              <w:rPr>
                <w:rFonts w:ascii="Times New Roman" w:hAnsi="Times New Roman"/>
                <w:vertAlign w:val="subscript"/>
              </w:rPr>
              <w:t>1/2</w:t>
            </w:r>
            <w:r w:rsidRPr="00CB294D">
              <w:rPr>
                <w:rFonts w:ascii="Times New Roman" w:hAnsi="Times New Roman"/>
              </w:rPr>
              <w:t xml:space="preserve">, його значення для якісної характеристики </w:t>
            </w:r>
            <w:proofErr w:type="spellStart"/>
            <w:r w:rsidRPr="00CB294D">
              <w:rPr>
                <w:rFonts w:ascii="Times New Roman" w:hAnsi="Times New Roman"/>
              </w:rPr>
              <w:t>деполя-ризатора</w:t>
            </w:r>
            <w:proofErr w:type="spellEnd"/>
            <w:r w:rsidRPr="00CB294D">
              <w:rPr>
                <w:rFonts w:ascii="Times New Roman" w:hAnsi="Times New Roman"/>
              </w:rPr>
              <w:t>. Рівняння полярографічної хвилі. Полярографічні максимуми.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Класифікація методів </w:t>
            </w:r>
            <w:proofErr w:type="spellStart"/>
            <w:r w:rsidRPr="008D2290">
              <w:rPr>
                <w:rFonts w:ascii="Times New Roman" w:hAnsi="Times New Roman"/>
              </w:rPr>
              <w:t>вольтампе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рометрії</w:t>
            </w:r>
            <w:proofErr w:type="spellEnd"/>
            <w:r w:rsidRPr="008D2290">
              <w:rPr>
                <w:rFonts w:ascii="Times New Roman" w:hAnsi="Times New Roman"/>
              </w:rPr>
              <w:t xml:space="preserve">. Загальна теорія методів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вольтамперометрії</w:t>
            </w:r>
            <w:proofErr w:type="spellEnd"/>
            <w:r w:rsidRPr="008D2290">
              <w:rPr>
                <w:rFonts w:ascii="Times New Roman" w:hAnsi="Times New Roman"/>
              </w:rPr>
              <w:t xml:space="preserve">. Класична полярографія. Теоретичні основи методу полярографії. Криві І–Е, потенціал півхвилі, його значення для якісної характеристики деполяризатора. Електродні процеси та їх характеристика: рівняння полярографічної хвилі для оборотних та необоротних електродних процесів. </w:t>
            </w:r>
            <w:proofErr w:type="spellStart"/>
            <w:r w:rsidRPr="008D2290">
              <w:rPr>
                <w:rFonts w:ascii="Times New Roman" w:hAnsi="Times New Roman"/>
              </w:rPr>
              <w:t>Поляро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графічні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максимуми та їх характеристика.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Правила роботи з ртуттю. Визначення константи капіляра. Вивчення природи граничних полярографічних струмів. Визначення Е</w:t>
            </w:r>
            <w:r w:rsidRPr="00CB294D">
              <w:rPr>
                <w:rFonts w:ascii="Times New Roman" w:hAnsi="Times New Roman"/>
                <w:vertAlign w:val="subscript"/>
              </w:rPr>
              <w:t>1/2</w:t>
            </w:r>
            <w:r w:rsidRPr="00CB294D">
              <w:rPr>
                <w:rFonts w:ascii="Times New Roman" w:hAnsi="Times New Roman"/>
              </w:rPr>
              <w:t xml:space="preserve"> для С</w:t>
            </w:r>
            <w:r w:rsidRPr="00CB294D">
              <w:rPr>
                <w:rFonts w:ascii="Times New Roman" w:hAnsi="Times New Roman"/>
                <w:lang w:val="en-US"/>
              </w:rPr>
              <w:t>d</w:t>
            </w:r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 xml:space="preserve">, </w:t>
            </w:r>
            <w:proofErr w:type="spellStart"/>
            <w:r w:rsidRPr="00CB294D">
              <w:rPr>
                <w:rFonts w:ascii="Times New Roman" w:hAnsi="Times New Roman"/>
                <w:lang w:val="en-US"/>
              </w:rPr>
              <w:t>Pb</w:t>
            </w:r>
            <w:proofErr w:type="spellEnd"/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 xml:space="preserve">, </w:t>
            </w:r>
            <w:r w:rsidRPr="00CB294D">
              <w:rPr>
                <w:rFonts w:ascii="Times New Roman" w:hAnsi="Times New Roman"/>
                <w:lang w:val="en-US"/>
              </w:rPr>
              <w:t>Zn</w:t>
            </w:r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 xml:space="preserve">, </w:t>
            </w:r>
            <w:r w:rsidRPr="00CB294D">
              <w:rPr>
                <w:rFonts w:ascii="Times New Roman" w:hAnsi="Times New Roman"/>
                <w:lang w:val="en-US"/>
              </w:rPr>
              <w:t>Ni</w:t>
            </w:r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>(за вибором). Перевірка оборотності електродного процесу.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 xml:space="preserve">Допуск до лабораторної роботи. Ознайомлення з обладнанням. Виготовлення стандартних та робочих розчинів. </w:t>
            </w:r>
            <w:r>
              <w:rPr>
                <w:rFonts w:ascii="Times New Roman" w:hAnsi="Times New Roman"/>
              </w:rPr>
              <w:t>Підготовка проби</w:t>
            </w:r>
            <w:r w:rsidRPr="00E41840">
              <w:rPr>
                <w:rFonts w:ascii="Times New Roman" w:hAnsi="Times New Roman"/>
              </w:rPr>
              <w:t xml:space="preserve">. Виконання </w:t>
            </w:r>
            <w:r>
              <w:rPr>
                <w:rFonts w:ascii="Times New Roman" w:hAnsi="Times New Roman"/>
              </w:rPr>
              <w:t>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294D">
              <w:rPr>
                <w:rFonts w:ascii="Times New Roman" w:hAnsi="Times New Roman"/>
              </w:rPr>
              <w:t xml:space="preserve">Механізми електрохімічних реакцій. Характеристика реакцій, які передують електрохімічній стадії, і які протікають </w:t>
            </w:r>
            <w:r w:rsidRPr="00CB294D">
              <w:rPr>
                <w:rFonts w:ascii="Times New Roman" w:hAnsi="Times New Roman"/>
              </w:rPr>
              <w:lastRenderedPageBreak/>
              <w:t>після її завершення. Дослідження координаційних сполук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лк</w:t>
            </w:r>
          </w:p>
        </w:tc>
        <w:tc>
          <w:tcPr>
            <w:tcW w:w="3728" w:type="dxa"/>
            <w:vAlign w:val="center"/>
          </w:tcPr>
          <w:p w:rsidR="008D2290" w:rsidRPr="008D2290" w:rsidRDefault="008D2290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8D2290">
              <w:rPr>
                <w:rFonts w:ascii="Times New Roman" w:hAnsi="Times New Roman"/>
              </w:rPr>
              <w:t xml:space="preserve">Характеристика реакцій, які передують електрохімічній стадії, і які протікають після її завершення. </w:t>
            </w:r>
            <w:r w:rsidRPr="008D2290">
              <w:rPr>
                <w:rFonts w:ascii="Times New Roman" w:hAnsi="Times New Roman"/>
              </w:rPr>
              <w:lastRenderedPageBreak/>
              <w:t xml:space="preserve">Кінетичні та каталітичні </w:t>
            </w:r>
            <w:proofErr w:type="spellStart"/>
            <w:r w:rsidRPr="008D2290">
              <w:rPr>
                <w:rFonts w:ascii="Times New Roman" w:hAnsi="Times New Roman"/>
              </w:rPr>
              <w:t>поляро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графічні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струми, їх класифікація. Адсорбційні граничні </w:t>
            </w:r>
            <w:proofErr w:type="spellStart"/>
            <w:r w:rsidRPr="008D2290">
              <w:rPr>
                <w:rFonts w:ascii="Times New Roman" w:hAnsi="Times New Roman"/>
              </w:rPr>
              <w:t>полярогра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фічні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струми. Практичне застосування дифузійних, </w:t>
            </w:r>
            <w:r>
              <w:rPr>
                <w:rFonts w:ascii="Times New Roman" w:hAnsi="Times New Roman"/>
              </w:rPr>
              <w:t>кінетик-</w:t>
            </w:r>
            <w:r w:rsidRPr="008D2290">
              <w:rPr>
                <w:rFonts w:ascii="Times New Roman" w:hAnsi="Times New Roman"/>
              </w:rPr>
              <w:t xml:space="preserve">них та адсорбційних процесів в аналізі. Практичне використання рівняння Ільковича. </w:t>
            </w:r>
          </w:p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>Дослідження координаційних сполук, визначення константи стійкості, числа лігандів (координаційного числа).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B294D">
              <w:rPr>
                <w:rFonts w:ascii="Times New Roman" w:hAnsi="Times New Roman"/>
              </w:rPr>
              <w:t>Визначення координаційного числа та константи стійкості полярографічним методом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 xml:space="preserve">Допуск до лабораторної роботи. Ознайомлення з обладнанням. Виготовлення стандартних та робочих розчинів. </w:t>
            </w:r>
            <w:r>
              <w:rPr>
                <w:rFonts w:ascii="Times New Roman" w:hAnsi="Times New Roman"/>
              </w:rPr>
              <w:t>Підготовка проби</w:t>
            </w:r>
            <w:r w:rsidRPr="00E41840">
              <w:rPr>
                <w:rFonts w:ascii="Times New Roman" w:hAnsi="Times New Roman"/>
              </w:rPr>
              <w:t xml:space="preserve">. Виконання </w:t>
            </w:r>
            <w:r>
              <w:rPr>
                <w:rFonts w:ascii="Times New Roman" w:hAnsi="Times New Roman"/>
              </w:rPr>
              <w:t>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Різновиди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вольтамперометричного</w:t>
            </w:r>
            <w:proofErr w:type="spellEnd"/>
            <w:r w:rsidRPr="00CB294D">
              <w:rPr>
                <w:rFonts w:ascii="Times New Roman" w:hAnsi="Times New Roman"/>
              </w:rPr>
              <w:t xml:space="preserve"> аналізу. Імпульсна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CB294D">
              <w:rPr>
                <w:rFonts w:ascii="Times New Roman" w:hAnsi="Times New Roman"/>
              </w:rPr>
              <w:t xml:space="preserve">.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CB294D">
              <w:rPr>
                <w:rFonts w:ascii="Times New Roman" w:hAnsi="Times New Roman"/>
              </w:rPr>
              <w:t xml:space="preserve"> з обертовим дисковим електродом, циклічна, з лінійною розгорткою, </w:t>
            </w:r>
            <w:proofErr w:type="spellStart"/>
            <w:r w:rsidRPr="00CB294D">
              <w:rPr>
                <w:rFonts w:ascii="Times New Roman" w:hAnsi="Times New Roman"/>
              </w:rPr>
              <w:t>зміннострумова</w:t>
            </w:r>
            <w:proofErr w:type="spellEnd"/>
            <w:r w:rsidRPr="00CB294D">
              <w:rPr>
                <w:rFonts w:ascii="Times New Roman" w:hAnsi="Times New Roman"/>
              </w:rPr>
              <w:t>. Дослідження оборотності процесу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D2290" w:rsidRPr="008D2290" w:rsidRDefault="008D2290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r w:rsidRPr="008D2290">
              <w:rPr>
                <w:rFonts w:ascii="Times New Roman" w:hAnsi="Times New Roman"/>
              </w:rPr>
              <w:t xml:space="preserve">Імпульсна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: теорія, аналітичні можливості. </w:t>
            </w:r>
            <w:proofErr w:type="spellStart"/>
            <w:r w:rsidRPr="008D2290">
              <w:rPr>
                <w:rFonts w:ascii="Times New Roman" w:hAnsi="Times New Roman"/>
              </w:rPr>
              <w:t>Зміннострумова</w:t>
            </w:r>
            <w:proofErr w:type="spellEnd"/>
            <w:r w:rsidRPr="008D2290">
              <w:rPr>
                <w:rFonts w:ascii="Times New Roman" w:hAnsi="Times New Roman"/>
              </w:rPr>
              <w:t xml:space="preserve">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: принципи, термінологія. </w:t>
            </w:r>
            <w:proofErr w:type="spellStart"/>
            <w:r w:rsidRPr="008D2290">
              <w:rPr>
                <w:rFonts w:ascii="Times New Roman" w:hAnsi="Times New Roman"/>
              </w:rPr>
              <w:t>Вольтампе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 з обертовим дисковим електродом, обертовим дисковим електродом з кільцем, </w:t>
            </w:r>
            <w:proofErr w:type="spellStart"/>
            <w:r w:rsidR="00E41840">
              <w:rPr>
                <w:rFonts w:ascii="Times New Roman" w:hAnsi="Times New Roman"/>
              </w:rPr>
              <w:t>ультрамікро-</w:t>
            </w:r>
            <w:r w:rsidRPr="008D2290">
              <w:rPr>
                <w:rFonts w:ascii="Times New Roman" w:hAnsi="Times New Roman"/>
              </w:rPr>
              <w:t>електродами</w:t>
            </w:r>
            <w:proofErr w:type="spellEnd"/>
            <w:r w:rsidRPr="008D2290">
              <w:rPr>
                <w:rFonts w:ascii="Times New Roman" w:hAnsi="Times New Roman"/>
              </w:rPr>
              <w:t xml:space="preserve">, стаціонарними електродами в протічних розчинах. </w:t>
            </w:r>
          </w:p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Суть та особливості методу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вольтамперометрії</w:t>
            </w:r>
            <w:proofErr w:type="spellEnd"/>
            <w:r w:rsidRPr="008D2290">
              <w:rPr>
                <w:rFonts w:ascii="Times New Roman" w:hAnsi="Times New Roman"/>
              </w:rPr>
              <w:t xml:space="preserve"> з лінійною розгорткою потенціалу. Циклічна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>: дослідження оборотності електродного процесу.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Визначення координаційного числа та константи стійкості полярографічним методом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E4184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E41840">
              <w:rPr>
                <w:rFonts w:ascii="Times New Roman" w:hAnsi="Times New Roman"/>
              </w:rPr>
              <w:t xml:space="preserve">Опрацювання одержаних </w:t>
            </w:r>
            <w:proofErr w:type="spellStart"/>
            <w:r w:rsidRPr="00E41840">
              <w:rPr>
                <w:rFonts w:ascii="Times New Roman" w:hAnsi="Times New Roman"/>
              </w:rPr>
              <w:t>експери</w:t>
            </w:r>
            <w:r>
              <w:rPr>
                <w:rFonts w:ascii="Times New Roman" w:hAnsi="Times New Roman"/>
              </w:rPr>
              <w:t>-</w:t>
            </w:r>
            <w:r w:rsidRPr="00E41840">
              <w:rPr>
                <w:rFonts w:ascii="Times New Roman" w:hAnsi="Times New Roman"/>
              </w:rPr>
              <w:t>ментальних</w:t>
            </w:r>
            <w:proofErr w:type="spellEnd"/>
            <w:r w:rsidRPr="00E41840">
              <w:rPr>
                <w:rFonts w:ascii="Times New Roman" w:hAnsi="Times New Roman"/>
              </w:rPr>
              <w:t xml:space="preserve"> даних та оформлення лабораторної роботи.</w:t>
            </w:r>
            <w:r>
              <w:rPr>
                <w:rFonts w:ascii="Times New Roman" w:hAnsi="Times New Roman"/>
              </w:rPr>
              <w:t xml:space="preserve"> Захист роботи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P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Інверсійна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CB294D">
              <w:rPr>
                <w:rFonts w:ascii="Times New Roman" w:hAnsi="Times New Roman"/>
              </w:rPr>
              <w:t>. Електрохімічне й адс</w:t>
            </w:r>
            <w:r w:rsidR="00E41840">
              <w:rPr>
                <w:rFonts w:ascii="Times New Roman" w:hAnsi="Times New Roman"/>
              </w:rPr>
              <w:t>орбційне концентрування. Особли</w:t>
            </w:r>
            <w:r w:rsidRPr="00CB294D">
              <w:rPr>
                <w:rFonts w:ascii="Times New Roman" w:hAnsi="Times New Roman"/>
              </w:rPr>
              <w:t xml:space="preserve">вості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вольтамперометрії</w:t>
            </w:r>
            <w:proofErr w:type="spellEnd"/>
            <w:r w:rsidRPr="00CB294D">
              <w:rPr>
                <w:rFonts w:ascii="Times New Roman" w:hAnsi="Times New Roman"/>
              </w:rPr>
              <w:t xml:space="preserve"> органічних сполук. Аналіз біологічних субстратів.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8D2290" w:rsidP="00E4184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Основи методу. Електрохімічне концентрування визначуваних елементів. Інверсійна </w:t>
            </w:r>
            <w:proofErr w:type="spellStart"/>
            <w:r w:rsidR="00E41840">
              <w:rPr>
                <w:rFonts w:ascii="Times New Roman" w:hAnsi="Times New Roman"/>
              </w:rPr>
              <w:t>вольтам</w:t>
            </w:r>
            <w:r>
              <w:rPr>
                <w:rFonts w:ascii="Times New Roman" w:hAnsi="Times New Roman"/>
              </w:rPr>
              <w:t>перо-</w:t>
            </w:r>
            <w:r w:rsidRPr="008D2290">
              <w:rPr>
                <w:rFonts w:ascii="Times New Roman" w:hAnsi="Times New Roman"/>
              </w:rPr>
              <w:t>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 амальгам. Інверсійна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 металів на твердих електродах. Інверсійна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 малорозчинних та координаційних хімічних сполук. Адсорбційне концентрування. </w:t>
            </w:r>
            <w:bookmarkStart w:id="0" w:name="_GoBack"/>
            <w:bookmarkEnd w:id="0"/>
            <w:r w:rsidRPr="008D2290">
              <w:rPr>
                <w:rFonts w:ascii="Times New Roman" w:hAnsi="Times New Roman"/>
              </w:rPr>
              <w:t xml:space="preserve">Застосування інверсійних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вольтамперометричних</w:t>
            </w:r>
            <w:proofErr w:type="spellEnd"/>
            <w:r w:rsidRPr="008D2290">
              <w:rPr>
                <w:rFonts w:ascii="Times New Roman" w:hAnsi="Times New Roman"/>
              </w:rPr>
              <w:t xml:space="preserve"> методів для аналізу об’єктів довкілля. Умови аналізу природних і стічних вод методом інверсійної </w:t>
            </w:r>
            <w:proofErr w:type="spellStart"/>
            <w:r>
              <w:rPr>
                <w:rFonts w:ascii="Times New Roman" w:hAnsi="Times New Roman"/>
              </w:rPr>
              <w:t>вольтамперо-</w:t>
            </w:r>
            <w:r w:rsidRPr="008D2290">
              <w:rPr>
                <w:rFonts w:ascii="Times New Roman" w:hAnsi="Times New Roman"/>
              </w:rPr>
              <w:t>метрії</w:t>
            </w:r>
            <w:proofErr w:type="spellEnd"/>
            <w:r w:rsidRPr="008D2290">
              <w:rPr>
                <w:rFonts w:ascii="Times New Roman" w:hAnsi="Times New Roman"/>
              </w:rPr>
              <w:t xml:space="preserve">. Особливості </w:t>
            </w:r>
            <w:proofErr w:type="spellStart"/>
            <w:r>
              <w:rPr>
                <w:rFonts w:ascii="Times New Roman" w:hAnsi="Times New Roman"/>
              </w:rPr>
              <w:t>вольтамперо-</w:t>
            </w:r>
            <w:r w:rsidRPr="008D2290">
              <w:rPr>
                <w:rFonts w:ascii="Times New Roman" w:hAnsi="Times New Roman"/>
              </w:rPr>
              <w:t>метрії</w:t>
            </w:r>
            <w:proofErr w:type="spellEnd"/>
            <w:r w:rsidRPr="008D2290">
              <w:rPr>
                <w:rFonts w:ascii="Times New Roman" w:hAnsi="Times New Roman"/>
              </w:rPr>
              <w:t xml:space="preserve"> органічних сполук. Аналіз біологічних субстратів.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  <w:color w:val="000000"/>
              </w:rPr>
              <w:t xml:space="preserve">Визначення концентрації </w:t>
            </w:r>
            <w:proofErr w:type="spellStart"/>
            <w:r w:rsidRPr="00CB294D">
              <w:rPr>
                <w:rFonts w:ascii="Times New Roman" w:hAnsi="Times New Roman"/>
                <w:lang w:val="en-US"/>
              </w:rPr>
              <w:t>Pb</w:t>
            </w:r>
            <w:proofErr w:type="spellEnd"/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 xml:space="preserve"> у природних і стічних водах методом </w:t>
            </w:r>
            <w:proofErr w:type="spellStart"/>
            <w:r w:rsidRPr="00CB294D">
              <w:rPr>
                <w:rFonts w:ascii="Times New Roman" w:hAnsi="Times New Roman"/>
              </w:rPr>
              <w:t>зміннострумової</w:t>
            </w:r>
            <w:proofErr w:type="spellEnd"/>
            <w:r w:rsidRPr="00CB294D">
              <w:rPr>
                <w:rFonts w:ascii="Times New Roman" w:hAnsi="Times New Roman"/>
              </w:rPr>
              <w:t xml:space="preserve"> полярографії.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5F765F" w:rsidP="005F765F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7F5032">
              <w:rPr>
                <w:rFonts w:ascii="Times New Roman" w:hAnsi="Times New Roman"/>
              </w:rPr>
              <w:t>Допуск до лабораторної роботи. Ознайомлення з апаратурою та обладнанням.</w:t>
            </w:r>
            <w:r>
              <w:rPr>
                <w:rFonts w:ascii="Times New Roman" w:hAnsi="Times New Roman"/>
              </w:rPr>
              <w:t xml:space="preserve"> </w:t>
            </w:r>
            <w:r w:rsidRPr="007F5032">
              <w:rPr>
                <w:rFonts w:ascii="Times New Roman" w:hAnsi="Times New Roman"/>
              </w:rPr>
              <w:t>Виготовлення стандартних та робочих розчинів. Виконання лабораторних вимірювань.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94D">
              <w:rPr>
                <w:rFonts w:ascii="Times New Roman" w:hAnsi="Times New Roman"/>
              </w:rPr>
              <w:t>Амперометричне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титрування, галузі застосування. Вибір потенціалу.</w:t>
            </w:r>
          </w:p>
          <w:p w:rsidR="00CB294D" w:rsidRPr="00CB294D" w:rsidRDefault="00CB294D" w:rsidP="00CB294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294D">
              <w:rPr>
                <w:rFonts w:ascii="Times New Roman" w:hAnsi="Times New Roman"/>
              </w:rPr>
              <w:lastRenderedPageBreak/>
              <w:t xml:space="preserve">Практичне використання методів </w:t>
            </w:r>
            <w:proofErr w:type="spellStart"/>
            <w:r w:rsidRPr="00CB294D">
              <w:rPr>
                <w:rFonts w:ascii="Times New Roman" w:hAnsi="Times New Roman"/>
              </w:rPr>
              <w:t>вольтамперометрії</w:t>
            </w:r>
            <w:proofErr w:type="spellEnd"/>
            <w:r w:rsidRPr="00CB294D">
              <w:rPr>
                <w:rFonts w:ascii="Times New Roman" w:hAnsi="Times New Roman"/>
              </w:rPr>
              <w:t xml:space="preserve"> і </w:t>
            </w:r>
            <w:proofErr w:type="spellStart"/>
            <w:r w:rsidRPr="00CB294D">
              <w:rPr>
                <w:rFonts w:ascii="Times New Roman" w:hAnsi="Times New Roman"/>
              </w:rPr>
              <w:t>амперометрії</w:t>
            </w:r>
            <w:proofErr w:type="spellEnd"/>
            <w:r w:rsidRPr="00CB294D"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лк</w:t>
            </w:r>
          </w:p>
        </w:tc>
        <w:tc>
          <w:tcPr>
            <w:tcW w:w="3728" w:type="dxa"/>
            <w:vAlign w:val="center"/>
          </w:tcPr>
          <w:p w:rsidR="008D2290" w:rsidRPr="008D2290" w:rsidRDefault="008D2290" w:rsidP="008D2290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</w:rPr>
            </w:pPr>
            <w:proofErr w:type="spellStart"/>
            <w:r w:rsidRPr="008D2290">
              <w:rPr>
                <w:rFonts w:ascii="Times New Roman" w:hAnsi="Times New Roman"/>
              </w:rPr>
              <w:t>Амперометричне</w:t>
            </w:r>
            <w:proofErr w:type="spellEnd"/>
            <w:r w:rsidRPr="008D2290">
              <w:rPr>
                <w:rFonts w:ascii="Times New Roman" w:hAnsi="Times New Roman"/>
              </w:rPr>
              <w:t xml:space="preserve"> </w:t>
            </w:r>
            <w:proofErr w:type="spellStart"/>
            <w:r w:rsidRPr="008D2290">
              <w:rPr>
                <w:rFonts w:ascii="Times New Roman" w:hAnsi="Times New Roman"/>
              </w:rPr>
              <w:t>титруваня</w:t>
            </w:r>
            <w:proofErr w:type="spellEnd"/>
            <w:r w:rsidRPr="008D2290">
              <w:rPr>
                <w:rFonts w:ascii="Times New Roman" w:hAnsi="Times New Roman"/>
              </w:rPr>
              <w:t xml:space="preserve">, його різновиди, типи кривих. Вибір </w:t>
            </w:r>
            <w:r w:rsidRPr="008D2290">
              <w:rPr>
                <w:rFonts w:ascii="Times New Roman" w:hAnsi="Times New Roman"/>
              </w:rPr>
              <w:lastRenderedPageBreak/>
              <w:t xml:space="preserve">потенціалу робочого електрода. Використання методу для визначення фізико-хімічних констант та в аналізі. </w:t>
            </w:r>
            <w:proofErr w:type="spellStart"/>
            <w:r w:rsidRPr="008D2290">
              <w:rPr>
                <w:rFonts w:ascii="Times New Roman" w:hAnsi="Times New Roman"/>
              </w:rPr>
              <w:t>Амперо</w:t>
            </w:r>
            <w:r>
              <w:rPr>
                <w:rFonts w:ascii="Times New Roman" w:hAnsi="Times New Roman"/>
              </w:rPr>
              <w:t>-</w:t>
            </w:r>
            <w:r w:rsidRPr="008D2290">
              <w:rPr>
                <w:rFonts w:ascii="Times New Roman" w:hAnsi="Times New Roman"/>
              </w:rPr>
              <w:t>метричне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титрування з двома поляризованими електродами.</w:t>
            </w:r>
          </w:p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Робочі електроди у </w:t>
            </w:r>
            <w:proofErr w:type="spellStart"/>
            <w:r>
              <w:rPr>
                <w:rFonts w:ascii="Times New Roman" w:hAnsi="Times New Roman"/>
              </w:rPr>
              <w:t>вольтамперо-</w:t>
            </w:r>
            <w:r w:rsidRPr="008D2290">
              <w:rPr>
                <w:rFonts w:ascii="Times New Roman" w:hAnsi="Times New Roman"/>
              </w:rPr>
              <w:t>метрії</w:t>
            </w:r>
            <w:proofErr w:type="spellEnd"/>
            <w:r w:rsidRPr="008D2290">
              <w:rPr>
                <w:rFonts w:ascii="Times New Roman" w:hAnsi="Times New Roman"/>
              </w:rPr>
              <w:t>.</w:t>
            </w:r>
            <w:r w:rsidRPr="008D2290">
              <w:rPr>
                <w:rFonts w:ascii="Times New Roman" w:hAnsi="Times New Roman"/>
                <w:b/>
              </w:rPr>
              <w:t xml:space="preserve"> </w:t>
            </w:r>
            <w:r w:rsidRPr="008D2290">
              <w:rPr>
                <w:rFonts w:ascii="Times New Roman" w:hAnsi="Times New Roman"/>
              </w:rPr>
              <w:t xml:space="preserve">Особливості електролітичної комірки для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вольтамперометричних</w:t>
            </w:r>
            <w:proofErr w:type="spellEnd"/>
            <w:r w:rsidRPr="008D2290">
              <w:rPr>
                <w:rFonts w:ascii="Times New Roman" w:hAnsi="Times New Roman"/>
              </w:rPr>
              <w:t xml:space="preserve"> вимірювань. Електроди на основі ртуті, вуглецевих матеріалів. </w:t>
            </w:r>
            <w:proofErr w:type="spellStart"/>
            <w:r w:rsidRPr="008D2290">
              <w:rPr>
                <w:rFonts w:ascii="Times New Roman" w:hAnsi="Times New Roman"/>
              </w:rPr>
              <w:t>Вольтамперометрія</w:t>
            </w:r>
            <w:proofErr w:type="spellEnd"/>
            <w:r w:rsidRPr="008D2290">
              <w:rPr>
                <w:rFonts w:ascii="Times New Roman" w:hAnsi="Times New Roman"/>
              </w:rPr>
              <w:t xml:space="preserve"> з хімічно модифікованими електродами.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  <w:color w:val="000000"/>
              </w:rPr>
              <w:t xml:space="preserve">Визначення концентрації </w:t>
            </w:r>
            <w:proofErr w:type="spellStart"/>
            <w:r w:rsidRPr="00CB294D">
              <w:rPr>
                <w:rFonts w:ascii="Times New Roman" w:hAnsi="Times New Roman"/>
                <w:lang w:val="en-US"/>
              </w:rPr>
              <w:t>Pb</w:t>
            </w:r>
            <w:proofErr w:type="spellEnd"/>
            <w:r w:rsidRPr="00CB294D">
              <w:rPr>
                <w:rFonts w:ascii="Times New Roman" w:hAnsi="Times New Roman"/>
                <w:vertAlign w:val="superscript"/>
              </w:rPr>
              <w:t>2+</w:t>
            </w:r>
            <w:r w:rsidRPr="00CB294D">
              <w:rPr>
                <w:rFonts w:ascii="Times New Roman" w:hAnsi="Times New Roman"/>
              </w:rPr>
              <w:t xml:space="preserve"> у природних і стічних водах методом </w:t>
            </w:r>
            <w:proofErr w:type="spellStart"/>
            <w:r w:rsidRPr="00CB294D">
              <w:rPr>
                <w:rFonts w:ascii="Times New Roman" w:hAnsi="Times New Roman"/>
              </w:rPr>
              <w:t>зміннострумової</w:t>
            </w:r>
            <w:proofErr w:type="spellEnd"/>
            <w:r w:rsidRPr="00CB294D">
              <w:rPr>
                <w:rFonts w:ascii="Times New Roman" w:hAnsi="Times New Roman"/>
              </w:rPr>
              <w:t xml:space="preserve"> полярографії.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5F765F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7F5032">
              <w:rPr>
                <w:rFonts w:ascii="Times New Roman" w:hAnsi="Times New Roman"/>
              </w:rPr>
              <w:t>Опрацювання одержаних експериментальних даних та оформлення лабораторної роботи.</w:t>
            </w:r>
            <w:r>
              <w:rPr>
                <w:rFonts w:ascii="Times New Roman" w:hAnsi="Times New Roman"/>
              </w:rPr>
              <w:t xml:space="preserve"> Захист 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B294D">
              <w:rPr>
                <w:rFonts w:ascii="Times New Roman" w:hAnsi="Times New Roman"/>
              </w:rPr>
              <w:t>Кондуктометричний</w:t>
            </w:r>
            <w:proofErr w:type="spellEnd"/>
            <w:r w:rsidRPr="00CB294D">
              <w:rPr>
                <w:rFonts w:ascii="Times New Roman" w:hAnsi="Times New Roman"/>
              </w:rPr>
              <w:t xml:space="preserve"> метод аналізу. Електропровідність. </w:t>
            </w:r>
            <w:proofErr w:type="spellStart"/>
            <w:r w:rsidRPr="00CB294D">
              <w:rPr>
                <w:rFonts w:ascii="Times New Roman" w:hAnsi="Times New Roman"/>
              </w:rPr>
              <w:t>Кондуктометричне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титрування..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8D2290">
              <w:rPr>
                <w:rFonts w:ascii="Times New Roman" w:hAnsi="Times New Roman"/>
              </w:rPr>
              <w:t xml:space="preserve">Електропровідність електролітів, чинники, які впливають на електропровідність. Пряма кондуктометрія і </w:t>
            </w:r>
            <w:proofErr w:type="spellStart"/>
            <w:r w:rsidRPr="008D2290">
              <w:rPr>
                <w:rFonts w:ascii="Times New Roman" w:hAnsi="Times New Roman"/>
              </w:rPr>
              <w:t>кондуктометричне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титрування. </w:t>
            </w:r>
            <w:proofErr w:type="spellStart"/>
            <w:r w:rsidRPr="008D2290">
              <w:rPr>
                <w:rFonts w:ascii="Times New Roman" w:hAnsi="Times New Roman"/>
              </w:rPr>
              <w:t>Кондуктометричне</w:t>
            </w:r>
            <w:proofErr w:type="spellEnd"/>
            <w:r w:rsidRPr="008D2290">
              <w:rPr>
                <w:rFonts w:ascii="Times New Roman" w:hAnsi="Times New Roman"/>
              </w:rPr>
              <w:t xml:space="preserve"> титрування неводних розчинів. Високочастотне титрування. Визначення констант </w:t>
            </w:r>
            <w:proofErr w:type="spellStart"/>
            <w:r w:rsidRPr="008D2290">
              <w:rPr>
                <w:rFonts w:ascii="Times New Roman" w:hAnsi="Times New Roman"/>
              </w:rPr>
              <w:t>протолізу</w:t>
            </w:r>
            <w:proofErr w:type="spellEnd"/>
            <w:r w:rsidRPr="008D2290">
              <w:rPr>
                <w:rFonts w:ascii="Times New Roman" w:hAnsi="Times New Roman"/>
              </w:rPr>
              <w:t xml:space="preserve"> і розчинності. Застосування </w:t>
            </w:r>
            <w:proofErr w:type="spellStart"/>
            <w:r w:rsidRPr="008D2290">
              <w:rPr>
                <w:rFonts w:ascii="Times New Roman" w:hAnsi="Times New Roman"/>
              </w:rPr>
              <w:t>кондуктометричного</w:t>
            </w:r>
            <w:proofErr w:type="spellEnd"/>
            <w:r w:rsidRPr="008D2290">
              <w:rPr>
                <w:rFonts w:ascii="Times New Roman" w:hAnsi="Times New Roman"/>
              </w:rPr>
              <w:t xml:space="preserve"> методу в аналізі об’єктів довкілля.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 xml:space="preserve">Визначення сульфат або хлорид-іонів у природних водах методом </w:t>
            </w:r>
            <w:proofErr w:type="spellStart"/>
            <w:r w:rsidRPr="00CB294D">
              <w:rPr>
                <w:rFonts w:ascii="Times New Roman" w:hAnsi="Times New Roman"/>
              </w:rPr>
              <w:t>кондуктометричного</w:t>
            </w:r>
            <w:proofErr w:type="spellEnd"/>
            <w:r w:rsidRPr="00CB294D">
              <w:rPr>
                <w:rFonts w:ascii="Times New Roman" w:hAnsi="Times New Roman"/>
              </w:rPr>
              <w:t xml:space="preserve"> титрування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5F765F" w:rsidP="005F765F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7F5032">
              <w:rPr>
                <w:rFonts w:ascii="Times New Roman" w:hAnsi="Times New Roman"/>
              </w:rPr>
              <w:t>Допуск до лабораторної роботи. Ознайомлення з апаратурою та обладнанням.</w:t>
            </w:r>
            <w:r>
              <w:rPr>
                <w:rFonts w:ascii="Times New Roman" w:hAnsi="Times New Roman"/>
              </w:rPr>
              <w:t xml:space="preserve"> </w:t>
            </w:r>
            <w:r w:rsidRPr="007F5032">
              <w:rPr>
                <w:rFonts w:ascii="Times New Roman" w:hAnsi="Times New Roman"/>
              </w:rPr>
              <w:t xml:space="preserve">Виготовлення стандартних та робочих розчинів. Виконання </w:t>
            </w:r>
            <w:r>
              <w:rPr>
                <w:rFonts w:ascii="Times New Roman" w:hAnsi="Times New Roman"/>
              </w:rPr>
              <w:t>роботи</w:t>
            </w:r>
            <w:r w:rsidRPr="007F50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F5032">
              <w:rPr>
                <w:rFonts w:ascii="Times New Roman" w:hAnsi="Times New Roman"/>
              </w:rPr>
              <w:t xml:space="preserve">Опрацювання </w:t>
            </w:r>
            <w:r>
              <w:rPr>
                <w:rFonts w:ascii="Times New Roman" w:hAnsi="Times New Roman"/>
              </w:rPr>
              <w:t>результатів</w:t>
            </w:r>
            <w:r w:rsidRPr="007F5032">
              <w:rPr>
                <w:rFonts w:ascii="Times New Roman" w:hAnsi="Times New Roman"/>
              </w:rPr>
              <w:t xml:space="preserve"> даних та оформлення лабораторної роботи.</w:t>
            </w: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94D" w:rsidRPr="00136135" w:rsidTr="002B01CE">
        <w:tc>
          <w:tcPr>
            <w:tcW w:w="756" w:type="dxa"/>
            <w:vMerge w:val="restart"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294D">
              <w:rPr>
                <w:rFonts w:ascii="Times New Roman" w:hAnsi="Times New Roman"/>
              </w:rPr>
              <w:t>Електросенсорика</w:t>
            </w:r>
            <w:proofErr w:type="spellEnd"/>
            <w:r w:rsidRPr="00CB294D">
              <w:rPr>
                <w:rFonts w:ascii="Times New Roman" w:hAnsi="Times New Roman"/>
              </w:rPr>
              <w:t>. Електрохімічні сенсори та детектори.</w:t>
            </w:r>
          </w:p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294D">
              <w:rPr>
                <w:rFonts w:ascii="Times New Roman" w:hAnsi="Times New Roman"/>
              </w:rPr>
              <w:t>Капілярний зонний електрофорез.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CB294D" w:rsidRPr="008D2290" w:rsidRDefault="008D2290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D2290">
              <w:rPr>
                <w:rFonts w:ascii="Times New Roman" w:hAnsi="Times New Roman"/>
              </w:rPr>
              <w:t>Амперометричні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сенсори і </w:t>
            </w:r>
            <w:proofErr w:type="spellStart"/>
            <w:r w:rsidRPr="008D2290">
              <w:rPr>
                <w:rFonts w:ascii="Times New Roman" w:hAnsi="Times New Roman"/>
              </w:rPr>
              <w:t>біосенсори</w:t>
            </w:r>
            <w:proofErr w:type="spellEnd"/>
            <w:r w:rsidRPr="008D2290">
              <w:rPr>
                <w:rFonts w:ascii="Times New Roman" w:hAnsi="Times New Roman"/>
              </w:rPr>
              <w:t xml:space="preserve">. Датчик </w:t>
            </w:r>
            <w:proofErr w:type="spellStart"/>
            <w:r w:rsidRPr="008D2290">
              <w:rPr>
                <w:rFonts w:ascii="Times New Roman" w:hAnsi="Times New Roman"/>
              </w:rPr>
              <w:t>Кларка</w:t>
            </w:r>
            <w:proofErr w:type="spellEnd"/>
            <w:r w:rsidRPr="008D2290">
              <w:rPr>
                <w:rFonts w:ascii="Times New Roman" w:hAnsi="Times New Roman"/>
              </w:rPr>
              <w:t xml:space="preserve">. Потенціометричні, </w:t>
            </w:r>
            <w:proofErr w:type="spellStart"/>
            <w:r w:rsidRPr="008D2290">
              <w:rPr>
                <w:rFonts w:ascii="Times New Roman" w:hAnsi="Times New Roman"/>
              </w:rPr>
              <w:t>кондуктометричні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, </w:t>
            </w:r>
            <w:proofErr w:type="spellStart"/>
            <w:r w:rsidRPr="008D2290">
              <w:rPr>
                <w:rFonts w:ascii="Times New Roman" w:hAnsi="Times New Roman"/>
              </w:rPr>
              <w:t>кулонометричні</w:t>
            </w:r>
            <w:proofErr w:type="spellEnd"/>
            <w:r w:rsidRPr="008D2290">
              <w:rPr>
                <w:rFonts w:ascii="Times New Roman" w:hAnsi="Times New Roman"/>
              </w:rPr>
              <w:t xml:space="preserve"> сенсори. Електрохімічні детектори для рідинної хроматографії, протічно-інжекційного аналізу, капілярного зонного </w:t>
            </w:r>
            <w:proofErr w:type="spellStart"/>
            <w:r w:rsidRPr="008D2290">
              <w:rPr>
                <w:rFonts w:ascii="Times New Roman" w:hAnsi="Times New Roman"/>
              </w:rPr>
              <w:t>електофорезу</w:t>
            </w:r>
            <w:proofErr w:type="spellEnd"/>
            <w:r w:rsidRPr="008D229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94D" w:rsidRPr="00136135" w:rsidTr="002B01CE">
        <w:tc>
          <w:tcPr>
            <w:tcW w:w="756" w:type="dxa"/>
            <w:vMerge/>
            <w:vAlign w:val="center"/>
          </w:tcPr>
          <w:p w:rsidR="00CB294D" w:rsidRDefault="00CB294D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B294D" w:rsidRPr="00CB294D" w:rsidRDefault="00CB294D" w:rsidP="00CB294D">
            <w:pPr>
              <w:spacing w:after="0" w:line="240" w:lineRule="auto"/>
              <w:rPr>
                <w:rFonts w:ascii="Times New Roman" w:hAnsi="Times New Roman"/>
              </w:rPr>
            </w:pPr>
            <w:r w:rsidRPr="00CB294D">
              <w:rPr>
                <w:rFonts w:ascii="Times New Roman" w:hAnsi="Times New Roman"/>
              </w:rPr>
              <w:t>Написання модульних робіт, колоквіумів)</w:t>
            </w:r>
          </w:p>
        </w:tc>
        <w:tc>
          <w:tcPr>
            <w:tcW w:w="1132" w:type="dxa"/>
            <w:vAlign w:val="center"/>
          </w:tcPr>
          <w:p w:rsidR="00CB294D" w:rsidRPr="00C27C4F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3728" w:type="dxa"/>
            <w:vAlign w:val="center"/>
          </w:tcPr>
          <w:p w:rsidR="00CB294D" w:rsidRPr="008D2290" w:rsidRDefault="00CB294D" w:rsidP="008D2290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B294D" w:rsidRDefault="00CB294D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8756C" w:rsidRDefault="00C8756C"/>
    <w:p w:rsidR="00C8756C" w:rsidRPr="0053641E" w:rsidRDefault="00C8756C">
      <w:pPr>
        <w:rPr>
          <w:lang w:val="en-US"/>
        </w:rPr>
      </w:pPr>
    </w:p>
    <w:sectPr w:rsidR="00C8756C" w:rsidRPr="0053641E" w:rsidSect="00942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E7"/>
    <w:multiLevelType w:val="hybridMultilevel"/>
    <w:tmpl w:val="BBD2EC52"/>
    <w:lvl w:ilvl="0" w:tplc="F8208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00792"/>
    <w:multiLevelType w:val="hybridMultilevel"/>
    <w:tmpl w:val="16FAF5B0"/>
    <w:lvl w:ilvl="0" w:tplc="55181398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 Tiger Expert" w:hAnsi="Symbol Tiger Exper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33AC"/>
    <w:multiLevelType w:val="singleLevel"/>
    <w:tmpl w:val="35FC71C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</w:rPr>
    </w:lvl>
  </w:abstractNum>
  <w:abstractNum w:abstractNumId="4">
    <w:nsid w:val="292E137F"/>
    <w:multiLevelType w:val="hybridMultilevel"/>
    <w:tmpl w:val="58CC048A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A25A2"/>
    <w:multiLevelType w:val="singleLevel"/>
    <w:tmpl w:val="6AD6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A9B7994"/>
    <w:multiLevelType w:val="singleLevel"/>
    <w:tmpl w:val="2A00B32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226B3"/>
    <w:multiLevelType w:val="hybridMultilevel"/>
    <w:tmpl w:val="9C12D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E71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43767A0"/>
    <w:multiLevelType w:val="hybridMultilevel"/>
    <w:tmpl w:val="4FA6219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F1946"/>
    <w:multiLevelType w:val="singleLevel"/>
    <w:tmpl w:val="2A00B32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F"/>
    <w:rsid w:val="00000EDB"/>
    <w:rsid w:val="00001288"/>
    <w:rsid w:val="0001047F"/>
    <w:rsid w:val="00012CE4"/>
    <w:rsid w:val="00012DB7"/>
    <w:rsid w:val="00017CBE"/>
    <w:rsid w:val="00056A43"/>
    <w:rsid w:val="00061FFE"/>
    <w:rsid w:val="00064ACC"/>
    <w:rsid w:val="0006511A"/>
    <w:rsid w:val="000A12FB"/>
    <w:rsid w:val="000B6672"/>
    <w:rsid w:val="000D40FE"/>
    <w:rsid w:val="000F5788"/>
    <w:rsid w:val="0010499E"/>
    <w:rsid w:val="00136135"/>
    <w:rsid w:val="00164223"/>
    <w:rsid w:val="00167099"/>
    <w:rsid w:val="00180984"/>
    <w:rsid w:val="00183FE8"/>
    <w:rsid w:val="001846F5"/>
    <w:rsid w:val="001A3981"/>
    <w:rsid w:val="001B65A8"/>
    <w:rsid w:val="001C516A"/>
    <w:rsid w:val="001D63C9"/>
    <w:rsid w:val="001E2163"/>
    <w:rsid w:val="001F6C8F"/>
    <w:rsid w:val="0021453D"/>
    <w:rsid w:val="00232D3D"/>
    <w:rsid w:val="002343A9"/>
    <w:rsid w:val="0024129A"/>
    <w:rsid w:val="0025141C"/>
    <w:rsid w:val="002863F8"/>
    <w:rsid w:val="00296268"/>
    <w:rsid w:val="002A5F21"/>
    <w:rsid w:val="002B01CE"/>
    <w:rsid w:val="002C646A"/>
    <w:rsid w:val="002C7927"/>
    <w:rsid w:val="002D067C"/>
    <w:rsid w:val="002D4DB3"/>
    <w:rsid w:val="002D5FB3"/>
    <w:rsid w:val="00307A80"/>
    <w:rsid w:val="00316786"/>
    <w:rsid w:val="003414E4"/>
    <w:rsid w:val="00357A43"/>
    <w:rsid w:val="00391B02"/>
    <w:rsid w:val="003A5DE5"/>
    <w:rsid w:val="003D2CF3"/>
    <w:rsid w:val="003D315D"/>
    <w:rsid w:val="003E4C7B"/>
    <w:rsid w:val="00466537"/>
    <w:rsid w:val="00470DDC"/>
    <w:rsid w:val="00471DEB"/>
    <w:rsid w:val="004811D3"/>
    <w:rsid w:val="004A32A0"/>
    <w:rsid w:val="004B603C"/>
    <w:rsid w:val="004C64D9"/>
    <w:rsid w:val="004C6A72"/>
    <w:rsid w:val="004D2240"/>
    <w:rsid w:val="004E7556"/>
    <w:rsid w:val="004F467D"/>
    <w:rsid w:val="004F4790"/>
    <w:rsid w:val="00512948"/>
    <w:rsid w:val="005329E9"/>
    <w:rsid w:val="0053641E"/>
    <w:rsid w:val="00541658"/>
    <w:rsid w:val="005466FA"/>
    <w:rsid w:val="0055143F"/>
    <w:rsid w:val="00554955"/>
    <w:rsid w:val="00570646"/>
    <w:rsid w:val="00572088"/>
    <w:rsid w:val="0059585B"/>
    <w:rsid w:val="005A4D6E"/>
    <w:rsid w:val="005B0D6A"/>
    <w:rsid w:val="005B6990"/>
    <w:rsid w:val="005C446D"/>
    <w:rsid w:val="005F765F"/>
    <w:rsid w:val="00635461"/>
    <w:rsid w:val="0064239C"/>
    <w:rsid w:val="00647C5F"/>
    <w:rsid w:val="00691230"/>
    <w:rsid w:val="006A1FF4"/>
    <w:rsid w:val="006A6169"/>
    <w:rsid w:val="006D5EFD"/>
    <w:rsid w:val="006D70D9"/>
    <w:rsid w:val="007041DF"/>
    <w:rsid w:val="007043D1"/>
    <w:rsid w:val="007157F8"/>
    <w:rsid w:val="00716416"/>
    <w:rsid w:val="00720C74"/>
    <w:rsid w:val="00730343"/>
    <w:rsid w:val="00757741"/>
    <w:rsid w:val="007A5166"/>
    <w:rsid w:val="007D6DD0"/>
    <w:rsid w:val="007E68A5"/>
    <w:rsid w:val="00803037"/>
    <w:rsid w:val="00805C55"/>
    <w:rsid w:val="0081745D"/>
    <w:rsid w:val="00835A48"/>
    <w:rsid w:val="00835D91"/>
    <w:rsid w:val="008424C8"/>
    <w:rsid w:val="008B6E52"/>
    <w:rsid w:val="008C0A48"/>
    <w:rsid w:val="008C1C4C"/>
    <w:rsid w:val="008D2290"/>
    <w:rsid w:val="008D34CB"/>
    <w:rsid w:val="008E0536"/>
    <w:rsid w:val="008E719F"/>
    <w:rsid w:val="008F7580"/>
    <w:rsid w:val="00901874"/>
    <w:rsid w:val="0090533D"/>
    <w:rsid w:val="00913035"/>
    <w:rsid w:val="0092112E"/>
    <w:rsid w:val="00937A5D"/>
    <w:rsid w:val="0094263A"/>
    <w:rsid w:val="00955A91"/>
    <w:rsid w:val="00971B6C"/>
    <w:rsid w:val="00973DFC"/>
    <w:rsid w:val="0099131B"/>
    <w:rsid w:val="009D72AE"/>
    <w:rsid w:val="00A12770"/>
    <w:rsid w:val="00A14119"/>
    <w:rsid w:val="00A14FB1"/>
    <w:rsid w:val="00A532EE"/>
    <w:rsid w:val="00A641D7"/>
    <w:rsid w:val="00A661FE"/>
    <w:rsid w:val="00A7411F"/>
    <w:rsid w:val="00A977B9"/>
    <w:rsid w:val="00AA408A"/>
    <w:rsid w:val="00AB6DBA"/>
    <w:rsid w:val="00AB6DCD"/>
    <w:rsid w:val="00B1229B"/>
    <w:rsid w:val="00B125E5"/>
    <w:rsid w:val="00B549F9"/>
    <w:rsid w:val="00B71722"/>
    <w:rsid w:val="00B74EF2"/>
    <w:rsid w:val="00B75914"/>
    <w:rsid w:val="00B860EC"/>
    <w:rsid w:val="00B92900"/>
    <w:rsid w:val="00BC608B"/>
    <w:rsid w:val="00BC7081"/>
    <w:rsid w:val="00BF068F"/>
    <w:rsid w:val="00BF4BC1"/>
    <w:rsid w:val="00C27C4F"/>
    <w:rsid w:val="00C308BC"/>
    <w:rsid w:val="00C46F68"/>
    <w:rsid w:val="00C63BB5"/>
    <w:rsid w:val="00C64355"/>
    <w:rsid w:val="00C7035F"/>
    <w:rsid w:val="00C8756C"/>
    <w:rsid w:val="00CB294D"/>
    <w:rsid w:val="00CB3CB3"/>
    <w:rsid w:val="00CB612B"/>
    <w:rsid w:val="00CE03B1"/>
    <w:rsid w:val="00CE6E06"/>
    <w:rsid w:val="00CF0518"/>
    <w:rsid w:val="00CF329E"/>
    <w:rsid w:val="00D119EE"/>
    <w:rsid w:val="00D20196"/>
    <w:rsid w:val="00D246EA"/>
    <w:rsid w:val="00D431C2"/>
    <w:rsid w:val="00D63B44"/>
    <w:rsid w:val="00DA14B8"/>
    <w:rsid w:val="00E02D47"/>
    <w:rsid w:val="00E10322"/>
    <w:rsid w:val="00E1386D"/>
    <w:rsid w:val="00E14AA8"/>
    <w:rsid w:val="00E32798"/>
    <w:rsid w:val="00E41840"/>
    <w:rsid w:val="00E43E38"/>
    <w:rsid w:val="00E44CA3"/>
    <w:rsid w:val="00E4533D"/>
    <w:rsid w:val="00E91FDC"/>
    <w:rsid w:val="00E94357"/>
    <w:rsid w:val="00EC6EBA"/>
    <w:rsid w:val="00EE4106"/>
    <w:rsid w:val="00EF22BC"/>
    <w:rsid w:val="00EF3573"/>
    <w:rsid w:val="00EF7048"/>
    <w:rsid w:val="00F528B9"/>
    <w:rsid w:val="00F6199B"/>
    <w:rsid w:val="00F75982"/>
    <w:rsid w:val="00F8413E"/>
    <w:rsid w:val="00F86065"/>
    <w:rsid w:val="00F8774F"/>
    <w:rsid w:val="00F95BEF"/>
    <w:rsid w:val="00FA3E03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3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549F9"/>
    <w:pPr>
      <w:keepNext/>
      <w:spacing w:before="240" w:after="120" w:line="280" w:lineRule="exact"/>
      <w:ind w:firstLine="454"/>
      <w:jc w:val="both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B549F9"/>
    <w:pPr>
      <w:keepNext/>
      <w:spacing w:before="240" w:after="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B549F9"/>
    <w:pPr>
      <w:keepNext/>
      <w:spacing w:after="0" w:line="280" w:lineRule="exact"/>
      <w:jc w:val="center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15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3CB3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CB3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CB3"/>
    <w:rPr>
      <w:rFonts w:ascii="Calibri" w:hAnsi="Calibri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B860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549F9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sz w:val="20"/>
      <w:szCs w:val="20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CB3CB3"/>
    <w:rPr>
      <w:lang w:eastAsia="en-US"/>
    </w:rPr>
  </w:style>
  <w:style w:type="paragraph" w:styleId="a7">
    <w:name w:val="footer"/>
    <w:basedOn w:val="a"/>
    <w:link w:val="a8"/>
    <w:uiPriority w:val="99"/>
    <w:rsid w:val="00B549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CB3CB3"/>
    <w:rPr>
      <w:lang w:eastAsia="en-US"/>
    </w:rPr>
  </w:style>
  <w:style w:type="paragraph" w:styleId="2">
    <w:name w:val="Body Text 2"/>
    <w:basedOn w:val="a"/>
    <w:link w:val="20"/>
    <w:uiPriority w:val="99"/>
    <w:rsid w:val="00B549F9"/>
    <w:pPr>
      <w:spacing w:after="0" w:line="240" w:lineRule="auto"/>
      <w:jc w:val="both"/>
    </w:pPr>
    <w:rPr>
      <w:sz w:val="20"/>
      <w:szCs w:val="20"/>
      <w:lang w:val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CB3CB3"/>
    <w:rPr>
      <w:lang w:eastAsia="en-US"/>
    </w:rPr>
  </w:style>
  <w:style w:type="paragraph" w:styleId="a9">
    <w:name w:val="Body Text Indent"/>
    <w:basedOn w:val="a"/>
    <w:link w:val="aa"/>
    <w:uiPriority w:val="99"/>
    <w:rsid w:val="00001288"/>
    <w:pPr>
      <w:spacing w:after="120"/>
      <w:ind w:left="283"/>
    </w:pPr>
    <w:rPr>
      <w:sz w:val="20"/>
      <w:szCs w:val="20"/>
      <w:lang w:val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2C7927"/>
    <w:pPr>
      <w:spacing w:after="0" w:line="240" w:lineRule="auto"/>
      <w:ind w:left="720" w:firstLine="720"/>
      <w:jc w:val="both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sz w:val="16"/>
      <w:lang w:eastAsia="en-US"/>
    </w:rPr>
  </w:style>
  <w:style w:type="paragraph" w:styleId="ab">
    <w:name w:val="Body Text"/>
    <w:basedOn w:val="a"/>
    <w:link w:val="ac"/>
    <w:uiPriority w:val="99"/>
    <w:rsid w:val="003D315D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locked/>
    <w:rsid w:val="003D315D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1229B"/>
    <w:pPr>
      <w:spacing w:before="120" w:after="120" w:line="280" w:lineRule="exact"/>
      <w:ind w:firstLine="454"/>
      <w:jc w:val="both"/>
    </w:pPr>
    <w:rPr>
      <w:rFonts w:ascii="Tahoma" w:eastAsia="Times New Roman" w:hAnsi="Tahoma" w:cs="Tahoma"/>
      <w:b/>
      <w:i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B1229B"/>
    <w:rPr>
      <w:rFonts w:ascii="Tahoma" w:hAnsi="Tahoma" w:cs="Tahoma"/>
      <w:b/>
      <w:i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0303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803037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3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549F9"/>
    <w:pPr>
      <w:keepNext/>
      <w:spacing w:before="240" w:after="120" w:line="280" w:lineRule="exact"/>
      <w:ind w:firstLine="454"/>
      <w:jc w:val="both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B549F9"/>
    <w:pPr>
      <w:keepNext/>
      <w:spacing w:before="240" w:after="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B549F9"/>
    <w:pPr>
      <w:keepNext/>
      <w:spacing w:after="0" w:line="280" w:lineRule="exact"/>
      <w:jc w:val="center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15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3CB3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CB3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CB3"/>
    <w:rPr>
      <w:rFonts w:ascii="Calibri" w:hAnsi="Calibri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B860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549F9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sz w:val="20"/>
      <w:szCs w:val="20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CB3CB3"/>
    <w:rPr>
      <w:lang w:eastAsia="en-US"/>
    </w:rPr>
  </w:style>
  <w:style w:type="paragraph" w:styleId="a7">
    <w:name w:val="footer"/>
    <w:basedOn w:val="a"/>
    <w:link w:val="a8"/>
    <w:uiPriority w:val="99"/>
    <w:rsid w:val="00B549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CB3CB3"/>
    <w:rPr>
      <w:lang w:eastAsia="en-US"/>
    </w:rPr>
  </w:style>
  <w:style w:type="paragraph" w:styleId="2">
    <w:name w:val="Body Text 2"/>
    <w:basedOn w:val="a"/>
    <w:link w:val="20"/>
    <w:uiPriority w:val="99"/>
    <w:rsid w:val="00B549F9"/>
    <w:pPr>
      <w:spacing w:after="0" w:line="240" w:lineRule="auto"/>
      <w:jc w:val="both"/>
    </w:pPr>
    <w:rPr>
      <w:sz w:val="20"/>
      <w:szCs w:val="20"/>
      <w:lang w:val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CB3CB3"/>
    <w:rPr>
      <w:lang w:eastAsia="en-US"/>
    </w:rPr>
  </w:style>
  <w:style w:type="paragraph" w:styleId="a9">
    <w:name w:val="Body Text Indent"/>
    <w:basedOn w:val="a"/>
    <w:link w:val="aa"/>
    <w:uiPriority w:val="99"/>
    <w:rsid w:val="00001288"/>
    <w:pPr>
      <w:spacing w:after="120"/>
      <w:ind w:left="283"/>
    </w:pPr>
    <w:rPr>
      <w:sz w:val="20"/>
      <w:szCs w:val="20"/>
      <w:lang w:val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2C7927"/>
    <w:pPr>
      <w:spacing w:after="0" w:line="240" w:lineRule="auto"/>
      <w:ind w:left="720" w:firstLine="720"/>
      <w:jc w:val="both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sz w:val="16"/>
      <w:lang w:eastAsia="en-US"/>
    </w:rPr>
  </w:style>
  <w:style w:type="paragraph" w:styleId="ab">
    <w:name w:val="Body Text"/>
    <w:basedOn w:val="a"/>
    <w:link w:val="ac"/>
    <w:uiPriority w:val="99"/>
    <w:rsid w:val="003D315D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locked/>
    <w:rsid w:val="003D315D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1229B"/>
    <w:pPr>
      <w:spacing w:before="120" w:after="120" w:line="280" w:lineRule="exact"/>
      <w:ind w:firstLine="454"/>
      <w:jc w:val="both"/>
    </w:pPr>
    <w:rPr>
      <w:rFonts w:ascii="Tahoma" w:eastAsia="Times New Roman" w:hAnsi="Tahoma" w:cs="Tahoma"/>
      <w:b/>
      <w:i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B1229B"/>
    <w:rPr>
      <w:rFonts w:ascii="Tahoma" w:hAnsi="Tahoma" w:cs="Tahoma"/>
      <w:b/>
      <w:i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0303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803037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learning.lnu.edu.ua/course/view.php?id=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duben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11373</Words>
  <Characters>6483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LNU</dc:creator>
  <cp:lastModifiedBy>LiDub</cp:lastModifiedBy>
  <cp:revision>12</cp:revision>
  <dcterms:created xsi:type="dcterms:W3CDTF">2021-02-05T15:48:00Z</dcterms:created>
  <dcterms:modified xsi:type="dcterms:W3CDTF">2021-02-05T18:01:00Z</dcterms:modified>
</cp:coreProperties>
</file>